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2"/>
        <w:gridCol w:w="4682"/>
        <w:gridCol w:w="469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0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«18» мая 2026 года</w:t>
            </w:r>
          </w:p>
        </w:tc>
        <w:tc>
          <w:tcPr>
            <w:tcW w:w="5151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8/44-6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членов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 xml:space="preserve">избирательной комиссии избирательного участка </w:t>
      </w:r>
      <w:r>
        <w:rPr>
          <w:b/>
          <w:i w:val="false"/>
          <w:iCs w:val="false"/>
          <w:szCs w:val="28"/>
        </w:rPr>
        <w:t>№ 10-37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На основании поступивших заявлений членов участковой избирательной комиссии избирательного участка № 10-37 с правом решающего голоса Никитенко Анны Николаевны,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всероссийской политической партией «Родина»</w:t>
      </w:r>
      <w:r>
        <w:rPr>
          <w:szCs w:val="28"/>
        </w:rPr>
        <w:t xml:space="preserve">, Иноземцевой Марины Дмитриевны, назначенной в состав собранием избирателей по месту жительства, Семенчук Ларисы Анатольевны,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Краснодарским региональным отделением Политической партии ЛДПР, Семенчук Ульяны Сергеевны, назначенной в состав Всероссийской политической партией «Единая Россия»,</w:t>
      </w:r>
      <w:r>
        <w:rPr>
          <w:szCs w:val="28"/>
        </w:rPr>
        <w:t xml:space="preserve"> </w:t>
      </w:r>
      <w:r>
        <w:rPr>
          <w:bCs/>
          <w:color w:val="202122"/>
          <w:sz w:val="28"/>
          <w:szCs w:val="28"/>
          <w:shd w:fill="FFFFFF" w:val="clear"/>
        </w:rPr>
        <w:t xml:space="preserve">Григорьевской Виктории Алексеевны назначенной в состав региональным отделением в Краснодарском крае Политической партии «Гражданская платформа», </w:t>
      </w:r>
      <w:r>
        <w:rPr>
          <w:szCs w:val="28"/>
        </w:rPr>
        <w:t>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Досрочно прекратить полномочия членов участковой избирательной комиссии избирательного участка № 10-37 с правом решающего голоса Никитенко Анны Николаевны, Иноземцевой Марины Дмитриевны, Семенчук Ларисы Анатольевны, </w:t>
      </w:r>
      <w:r>
        <w:rPr>
          <w:bCs/>
          <w:color w:val="202122"/>
          <w:sz w:val="28"/>
          <w:szCs w:val="28"/>
          <w:shd w:fill="FFFFFF" w:val="clear"/>
        </w:rPr>
        <w:t>Семенчук Ульяны Сергеевны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2. Выданные удостоверения на имя Никитенко А.Н., Иноземцевой М.Д., Семенчук Л.А., Семенчук У.С.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10-37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пунктов </w:t>
      </w:r>
      <w:bookmarkStart w:id="0" w:name="_GoBack"/>
      <w:bookmarkEnd w:id="0"/>
      <w:r>
        <w:rPr>
          <w:sz w:val="28"/>
          <w:szCs w:val="28"/>
        </w:rPr>
        <w:t>3-4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2026-05-18T16:32:43Z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