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header1.xml" ContentType="application/vnd.openxmlformats-officedocument.wordprocessingml.header+xml"/>
  <Override PartName="/word/theme/theme1.xml" ContentType="application/vnd.openxmlformats-officedocument.theme+xml"/>
  <Override PartName="/word/document.xml" ContentType="application/vnd.openxmlformats-officedocument.wordprocessingml.document.main+xml"/>
  <Override PartName="/word/styles.xml" ContentType="application/vnd.openxmlformats-officedocument.wordprocessingml.styles+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4253" w:type="dxa"/>
        <w:jc w:val="right"/>
        <w:tblInd w:w="0" w:type="dxa"/>
        <w:tblLayout w:type="fixed"/>
        <w:tblCellMar>
          <w:top w:w="0" w:type="dxa"/>
          <w:left w:w="108" w:type="dxa"/>
          <w:bottom w:w="0" w:type="dxa"/>
          <w:right w:w="108" w:type="dxa"/>
        </w:tblCellMar>
        <w:tblLook w:noVBand="0" w:val="00a0" w:noHBand="0" w:lastColumn="0" w:firstColumn="1" w:lastRow="0" w:firstRow="1"/>
      </w:tblPr>
      <w:tblGrid>
        <w:gridCol w:w="4253"/>
      </w:tblGrid>
      <w:tr>
        <w:trPr>
          <w:trHeight w:val="113" w:hRule="atLeast"/>
        </w:trPr>
        <w:tc>
          <w:tcPr>
            <w:tcW w:w="4253" w:type="dxa"/>
            <w:tcBorders/>
            <w:vAlign w:val="center"/>
          </w:tcPr>
          <w:p>
            <w:pPr>
              <w:pStyle w:val="Normal"/>
              <w:widowControl w:val="false"/>
              <w:spacing w:lineRule="auto" w:line="240" w:before="0" w:after="0"/>
              <w:ind w:left="-108" w:right="-108" w:hanging="0"/>
              <w:rPr>
                <w:rFonts w:ascii="Times New Roman" w:hAnsi="Times New Roman" w:cs="Times New Roman"/>
                <w:sz w:val="28"/>
                <w:szCs w:val="28"/>
              </w:rPr>
            </w:pPr>
            <w:r>
              <w:rPr>
                <w:rFonts w:cs="Times New Roman" w:ascii="Times New Roman" w:hAnsi="Times New Roman"/>
                <w:sz w:val="28"/>
                <w:szCs w:val="28"/>
              </w:rPr>
              <w:t>Приложение</w:t>
            </w:r>
          </w:p>
        </w:tc>
      </w:tr>
      <w:tr>
        <w:trPr>
          <w:trHeight w:val="113" w:hRule="atLeast"/>
        </w:trPr>
        <w:tc>
          <w:tcPr>
            <w:tcW w:w="4253" w:type="dxa"/>
            <w:tcBorders/>
            <w:vAlign w:val="center"/>
          </w:tcPr>
          <w:p>
            <w:pPr>
              <w:pStyle w:val="Normal"/>
              <w:widowControl w:val="false"/>
              <w:spacing w:lineRule="auto" w:line="240" w:before="0" w:after="0"/>
              <w:ind w:left="-108" w:right="-108" w:hanging="0"/>
              <w:rPr>
                <w:rFonts w:ascii="Times New Roman" w:hAnsi="Times New Roman" w:cs="Times New Roman"/>
                <w:sz w:val="28"/>
                <w:szCs w:val="28"/>
              </w:rPr>
            </w:pPr>
            <w:r>
              <w:rPr>
                <w:rFonts w:cs="Times New Roman" w:ascii="Times New Roman" w:hAnsi="Times New Roman"/>
                <w:sz w:val="28"/>
                <w:szCs w:val="28"/>
              </w:rPr>
            </w:r>
          </w:p>
        </w:tc>
      </w:tr>
      <w:tr>
        <w:trPr>
          <w:trHeight w:val="113" w:hRule="atLeast"/>
        </w:trPr>
        <w:tc>
          <w:tcPr>
            <w:tcW w:w="4253" w:type="dxa"/>
            <w:tcBorders/>
            <w:vAlign w:val="center"/>
          </w:tcPr>
          <w:p>
            <w:pPr>
              <w:pStyle w:val="Normal"/>
              <w:widowControl w:val="false"/>
              <w:spacing w:lineRule="auto" w:line="240" w:before="0" w:after="0"/>
              <w:ind w:left="-108" w:right="-108" w:hanging="0"/>
              <w:rPr>
                <w:rFonts w:ascii="Times New Roman" w:hAnsi="Times New Roman" w:cs="Times New Roman"/>
                <w:sz w:val="28"/>
                <w:szCs w:val="28"/>
              </w:rPr>
            </w:pPr>
            <w:r>
              <w:rPr>
                <w:rFonts w:cs="Times New Roman" w:ascii="Times New Roman" w:hAnsi="Times New Roman"/>
                <w:sz w:val="28"/>
                <w:szCs w:val="28"/>
              </w:rPr>
              <w:t>УТВЕРЖДЕНО</w:t>
            </w:r>
          </w:p>
        </w:tc>
      </w:tr>
      <w:tr>
        <w:trPr>
          <w:trHeight w:val="113" w:hRule="atLeast"/>
        </w:trPr>
        <w:tc>
          <w:tcPr>
            <w:tcW w:w="4253" w:type="dxa"/>
            <w:tcBorders/>
            <w:vAlign w:val="center"/>
          </w:tcPr>
          <w:p>
            <w:pPr>
              <w:pStyle w:val="Normal"/>
              <w:widowControl w:val="false"/>
              <w:spacing w:lineRule="auto" w:line="240" w:before="0" w:after="0"/>
              <w:ind w:left="-108" w:right="-108" w:hanging="0"/>
              <w:rPr>
                <w:rFonts w:ascii="Times New Roman" w:hAnsi="Times New Roman" w:cs="Times New Roman"/>
                <w:sz w:val="28"/>
                <w:szCs w:val="28"/>
              </w:rPr>
            </w:pPr>
            <w:r>
              <w:rPr>
                <w:rFonts w:cs="Times New Roman" w:ascii="Times New Roman" w:hAnsi="Times New Roman"/>
                <w:sz w:val="28"/>
                <w:szCs w:val="28"/>
              </w:rPr>
              <w:t>решением Совета</w:t>
            </w:r>
          </w:p>
          <w:p>
            <w:pPr>
              <w:pStyle w:val="Normal"/>
              <w:widowControl w:val="false"/>
              <w:spacing w:lineRule="auto" w:line="240" w:before="0" w:after="0"/>
              <w:ind w:left="-108" w:right="-108" w:hanging="0"/>
              <w:rPr>
                <w:rFonts w:ascii="Times New Roman" w:hAnsi="Times New Roman" w:cs="Times New Roman"/>
                <w:sz w:val="28"/>
                <w:szCs w:val="28"/>
              </w:rPr>
            </w:pPr>
            <w:r>
              <w:rPr>
                <w:rFonts w:cs="Times New Roman" w:ascii="Times New Roman" w:hAnsi="Times New Roman"/>
                <w:sz w:val="28"/>
                <w:szCs w:val="28"/>
              </w:rPr>
              <w:t>муниципального образования</w:t>
            </w:r>
          </w:p>
          <w:p>
            <w:pPr>
              <w:pStyle w:val="Normal"/>
              <w:widowControl w:val="false"/>
              <w:spacing w:lineRule="auto" w:line="240" w:before="0" w:after="0"/>
              <w:ind w:left="-108" w:right="-108" w:hanging="0"/>
              <w:rPr>
                <w:rFonts w:ascii="Times New Roman" w:hAnsi="Times New Roman" w:cs="Times New Roman"/>
                <w:sz w:val="28"/>
                <w:szCs w:val="28"/>
              </w:rPr>
            </w:pPr>
            <w:r>
              <w:rPr>
                <w:rFonts w:cs="Times New Roman" w:ascii="Times New Roman" w:hAnsi="Times New Roman"/>
                <w:sz w:val="28"/>
                <w:szCs w:val="28"/>
              </w:rPr>
              <w:t>муниципальный округ</w:t>
            </w:r>
          </w:p>
          <w:p>
            <w:pPr>
              <w:pStyle w:val="Normal"/>
              <w:widowControl w:val="false"/>
              <w:spacing w:lineRule="auto" w:line="240" w:before="0" w:after="0"/>
              <w:ind w:left="-108" w:right="-108" w:hanging="0"/>
              <w:rPr>
                <w:rFonts w:ascii="Times New Roman" w:hAnsi="Times New Roman" w:cs="Times New Roman"/>
                <w:sz w:val="28"/>
                <w:szCs w:val="28"/>
              </w:rPr>
            </w:pPr>
            <w:r>
              <w:rPr>
                <w:rFonts w:cs="Times New Roman" w:ascii="Times New Roman" w:hAnsi="Times New Roman"/>
                <w:sz w:val="28"/>
                <w:szCs w:val="28"/>
              </w:rPr>
              <w:t>город Горячий Ключ</w:t>
            </w:r>
          </w:p>
          <w:p>
            <w:pPr>
              <w:pStyle w:val="Normal"/>
              <w:widowControl w:val="false"/>
              <w:spacing w:lineRule="auto" w:line="240" w:before="0" w:after="0"/>
              <w:ind w:left="-108" w:right="-108" w:hanging="0"/>
              <w:rPr>
                <w:rFonts w:ascii="Times New Roman" w:hAnsi="Times New Roman" w:cs="Times New Roman"/>
                <w:sz w:val="28"/>
                <w:szCs w:val="28"/>
              </w:rPr>
            </w:pPr>
            <w:r>
              <w:rPr>
                <w:rFonts w:cs="Times New Roman" w:ascii="Times New Roman" w:hAnsi="Times New Roman"/>
                <w:sz w:val="28"/>
                <w:szCs w:val="28"/>
              </w:rPr>
              <w:t>Краснодарского края</w:t>
            </w:r>
          </w:p>
        </w:tc>
      </w:tr>
      <w:tr>
        <w:trPr>
          <w:trHeight w:val="113" w:hRule="atLeast"/>
        </w:trPr>
        <w:tc>
          <w:tcPr>
            <w:tcW w:w="4253" w:type="dxa"/>
            <w:tcBorders/>
            <w:vAlign w:val="center"/>
          </w:tcPr>
          <w:p>
            <w:pPr>
              <w:pStyle w:val="Normal"/>
              <w:widowControl w:val="false"/>
              <w:spacing w:lineRule="auto" w:line="240" w:before="0" w:after="0"/>
              <w:ind w:left="-108" w:right="-108" w:hanging="0"/>
              <w:rPr>
                <w:rFonts w:ascii="Times New Roman" w:hAnsi="Times New Roman" w:cs="Times New Roman"/>
                <w:sz w:val="28"/>
                <w:szCs w:val="28"/>
              </w:rPr>
            </w:pPr>
            <w:r>
              <w:rPr>
                <w:rFonts w:cs="Times New Roman" w:ascii="Times New Roman" w:hAnsi="Times New Roman"/>
                <w:sz w:val="28"/>
                <w:szCs w:val="28"/>
              </w:rPr>
              <w:t>от ________________ № _______</w:t>
            </w:r>
          </w:p>
        </w:tc>
      </w:tr>
    </w:tbl>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r>
    </w:p>
    <w:p>
      <w:pPr>
        <w:pStyle w:val="Normal"/>
        <w:widowControl w:val="false"/>
        <w:spacing w:lineRule="auto" w:line="240" w:before="0" w:after="0"/>
        <w:rPr>
          <w:rFonts w:ascii="Times New Roman" w:hAnsi="Times New Roman"/>
          <w:sz w:val="28"/>
          <w:szCs w:val="28"/>
          <w:lang w:val="en-US"/>
        </w:rPr>
      </w:pPr>
      <w:r>
        <w:rPr>
          <w:rFonts w:ascii="Times New Roman" w:hAnsi="Times New Roman"/>
          <w:sz w:val="28"/>
          <w:szCs w:val="28"/>
          <w:lang w:val="en-US"/>
        </w:rPr>
      </w:r>
    </w:p>
    <w:tbl>
      <w:tblPr>
        <w:tblStyle w:val="a3"/>
        <w:tblW w:w="9639"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9639"/>
      </w:tblGrid>
      <w:tr>
        <w:trPr/>
        <w:tc>
          <w:tcPr>
            <w:tcW w:w="9639" w:type="dxa"/>
            <w:tcBorders>
              <w:top w:val="nil"/>
              <w:left w:val="nil"/>
              <w:bottom w:val="nil"/>
              <w:right w:val="nil"/>
            </w:tcBorders>
          </w:tcPr>
          <w:p>
            <w:pPr>
              <w:pStyle w:val="Normal"/>
              <w:widowControl w:val="false"/>
              <w:spacing w:lineRule="auto" w:line="240" w:before="0" w:after="0"/>
              <w:jc w:val="center"/>
              <w:rPr>
                <w:rFonts w:ascii="Times New Roman" w:hAnsi="Times New Roman"/>
                <w:b/>
                <w:b/>
                <w:sz w:val="28"/>
                <w:szCs w:val="28"/>
              </w:rPr>
            </w:pPr>
            <w:r>
              <w:rPr>
                <w:rFonts w:eastAsia="Calibri" w:cs="" w:ascii="Times New Roman" w:hAnsi="Times New Roman"/>
                <w:b/>
                <w:kern w:val="0"/>
                <w:sz w:val="28"/>
                <w:szCs w:val="28"/>
                <w:lang w:val="ru-RU" w:eastAsia="en-US" w:bidi="ar-SA"/>
              </w:rPr>
              <w:t>ПОЛОЖЕНИЕ</w:t>
            </w:r>
          </w:p>
        </w:tc>
      </w:tr>
      <w:tr>
        <w:trPr/>
        <w:tc>
          <w:tcPr>
            <w:tcW w:w="9639" w:type="dxa"/>
            <w:tcBorders>
              <w:top w:val="nil"/>
              <w:left w:val="nil"/>
              <w:bottom w:val="nil"/>
              <w:right w:val="nil"/>
            </w:tcBorders>
          </w:tcPr>
          <w:p>
            <w:pPr>
              <w:pStyle w:val="Normal"/>
              <w:widowControl w:val="false"/>
              <w:spacing w:lineRule="auto" w:line="240" w:before="0" w:after="0"/>
              <w:jc w:val="center"/>
              <w:rPr>
                <w:rFonts w:ascii="Times New Roman" w:hAnsi="Times New Roman" w:eastAsia="Times New Roman" w:cs="Times New Roman"/>
                <w:b/>
                <w:b/>
                <w:sz w:val="28"/>
              </w:rPr>
            </w:pPr>
            <w:r>
              <w:rPr>
                <w:rFonts w:eastAsia="Times New Roman" w:cs="Times New Roman" w:ascii="Times New Roman" w:hAnsi="Times New Roman"/>
                <w:b/>
                <w:kern w:val="0"/>
                <w:sz w:val="28"/>
                <w:szCs w:val="22"/>
                <w:lang w:val="ru-RU" w:eastAsia="en-US" w:bidi="ar-SA"/>
              </w:rPr>
              <w:t>об администрации   Кутаисского сельского округа муниципального</w:t>
            </w:r>
          </w:p>
          <w:p>
            <w:pPr>
              <w:pStyle w:val="Normal"/>
              <w:widowControl w:val="false"/>
              <w:spacing w:lineRule="auto" w:line="240" w:before="0" w:after="0"/>
              <w:jc w:val="center"/>
              <w:rPr>
                <w:rFonts w:ascii="Times New Roman" w:hAnsi="Times New Roman" w:eastAsia="Times New Roman" w:cs="Times New Roman"/>
                <w:b/>
                <w:b/>
                <w:sz w:val="28"/>
              </w:rPr>
            </w:pPr>
            <w:r>
              <w:rPr>
                <w:rFonts w:eastAsia="Times New Roman" w:cs="Times New Roman" w:ascii="Times New Roman" w:hAnsi="Times New Roman"/>
                <w:b/>
                <w:kern w:val="0"/>
                <w:sz w:val="28"/>
                <w:szCs w:val="22"/>
                <w:lang w:val="ru-RU" w:eastAsia="en-US" w:bidi="ar-SA"/>
              </w:rPr>
              <w:t>образования муниципальный округ город Горячий Ключ</w:t>
            </w:r>
          </w:p>
          <w:p>
            <w:pPr>
              <w:pStyle w:val="Normal"/>
              <w:widowControl w:val="false"/>
              <w:spacing w:lineRule="auto" w:line="240" w:before="0" w:after="0"/>
              <w:jc w:val="center"/>
              <w:rPr>
                <w:rFonts w:ascii="Times New Roman" w:hAnsi="Times New Roman"/>
                <w:b/>
                <w:b/>
                <w:sz w:val="28"/>
                <w:szCs w:val="28"/>
              </w:rPr>
            </w:pPr>
            <w:r>
              <w:rPr>
                <w:rFonts w:eastAsia="Times New Roman" w:cs="Times New Roman" w:ascii="Times New Roman" w:hAnsi="Times New Roman"/>
                <w:b/>
                <w:kern w:val="0"/>
                <w:sz w:val="28"/>
                <w:lang w:val="ru-RU" w:eastAsia="en-US" w:bidi="ar-SA"/>
              </w:rPr>
              <w:t>Краснодарского края</w:t>
            </w:r>
          </w:p>
        </w:tc>
      </w:tr>
    </w:tbl>
    <w:p>
      <w:pPr>
        <w:pStyle w:val="Normal"/>
        <w:widowControl w:val="false"/>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r>
    </w:p>
    <w:tbl>
      <w:tblPr>
        <w:tblStyle w:val="a3"/>
        <w:tblW w:w="9639"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9639"/>
      </w:tblGrid>
      <w:tr>
        <w:trPr/>
        <w:tc>
          <w:tcPr>
            <w:tcW w:w="9639" w:type="dxa"/>
            <w:tcBorders>
              <w:top w:val="nil"/>
              <w:left w:val="nil"/>
              <w:bottom w:val="nil"/>
              <w:right w:val="nil"/>
            </w:tcBorders>
          </w:tcPr>
          <w:p>
            <w:pPr>
              <w:pStyle w:val="Normal"/>
              <w:widowControl w:val="false"/>
              <w:spacing w:lineRule="auto" w:line="240" w:before="0" w:after="0"/>
              <w:jc w:val="center"/>
              <w:rPr>
                <w:rFonts w:ascii="Times New Roman" w:hAnsi="Times New Roman" w:cs="Times New Roman"/>
                <w:b/>
                <w:b/>
                <w:sz w:val="28"/>
                <w:szCs w:val="28"/>
              </w:rPr>
            </w:pPr>
            <w:r>
              <w:rPr>
                <w:rFonts w:eastAsia="Calibri" w:cs="Times New Roman" w:ascii="Times New Roman" w:hAnsi="Times New Roman"/>
                <w:b/>
                <w:kern w:val="0"/>
                <w:sz w:val="28"/>
                <w:szCs w:val="28"/>
                <w:lang w:val="ru-RU" w:eastAsia="en-US" w:bidi="ar-SA"/>
              </w:rPr>
              <w:t>1. Общие положения</w:t>
            </w:r>
          </w:p>
        </w:tc>
      </w:tr>
    </w:tbl>
    <w:p>
      <w:pPr>
        <w:pStyle w:val="Normal"/>
        <w:widowControl w:val="false"/>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xml:space="preserve">1.1. </w:t>
      </w:r>
      <w:r>
        <w:rPr>
          <w:rFonts w:ascii="Times New Roman" w:hAnsi="Times New Roman"/>
          <w:sz w:val="28"/>
        </w:rPr>
        <w:t>Администрация Кутаисского сельского округа муниципального образования муниципальный округ город Горячий Ключ Краснодарского края</w:t>
      </w:r>
      <w:r>
        <w:rPr>
          <w:rFonts w:eastAsia="Times New Roman" w:cs="Times New Roman" w:ascii="Times New Roman" w:hAnsi="Times New Roman"/>
          <w:sz w:val="28"/>
        </w:rPr>
        <w:t xml:space="preserve"> (далее – Администрация сельского округа) является территори</w:t>
      </w:r>
      <w:r>
        <w:rPr>
          <w:rFonts w:eastAsia="Times New Roman" w:ascii="Times New Roman" w:hAnsi="Times New Roman"/>
          <w:sz w:val="28"/>
        </w:rPr>
        <w:t xml:space="preserve">альным </w:t>
      </w:r>
      <w:r>
        <w:rPr>
          <w:rFonts w:eastAsia="Times New Roman" w:cs="Times New Roman" w:ascii="Times New Roman" w:hAnsi="Times New Roman"/>
          <w:sz w:val="28"/>
        </w:rPr>
        <w:t>органом администрации муниципального образования муниципальный округ город Горячий Ключ Краснодарского края.</w:t>
      </w:r>
    </w:p>
    <w:p>
      <w:pPr>
        <w:pStyle w:val="Normal"/>
        <w:widowControl w:val="false"/>
        <w:spacing w:lineRule="auto" w:line="240" w:before="0" w:after="0"/>
        <w:ind w:firstLine="709"/>
        <w:jc w:val="both"/>
        <w:rPr>
          <w:rFonts w:ascii="Times New Roman" w:hAnsi="Times New Roman" w:eastAsia="Times New Roman" w:cs="Times New Roman"/>
          <w:sz w:val="24"/>
        </w:rPr>
      </w:pPr>
      <w:r>
        <w:rPr>
          <w:rFonts w:eastAsia="Times New Roman" w:cs="Times New Roman" w:ascii="Times New Roman" w:hAnsi="Times New Roman"/>
          <w:sz w:val="28"/>
        </w:rPr>
        <w:t>1.3. Учредителем Администрации сельского округа является администрация муниципального образования муниципальный округ город Горячий Ключ Краснодарского края (далее – Администрация г. Горячий Ключ).</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1.4. Администрация сельского округа в своей деятельности руководствуется Конституцией Российской Федерации, Федеральными законами, указами Президента Российской Федерации, постановлениями и распоряжениями Правительства Российской Федерации, Уставом муниципального образования муниципальный округ город Горячий Ключ Краснодарского края, постановлениями и распоряжениями администрации муниципального образования муниципальный округ город Горячий Ключ Краснодарского края, другими правовыми актами, а также настоящим Положением.</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1.5. Администрация сельского округа осуществляет свою деятельность во взаимодействии с территориальными органами федеральных органов исполнительной власти, исполнительными органами государственной власти Краснодарского края, органами местного самоуправления, общественными, а также другими организациями независимо от их организационно-правовых форм.</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1.6. Финансирование Администрации сельского округа осуществляется за счёт средств местного бюджета (бюджета муниципального образования муниципальный округ город Горячий Ключ Краснодарского края), направляемых на его содержание.</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1.7. Имущество Администрация сельского округа является собственностью муниципального образования муниципальный округ город Горячий Ключ Краснодарского края и закреплено за ней на праве оперативного управления.</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Администрация сельского округа владеет, пользуется и распоряжается закреплённым за ним имуществом в соответствии с законодательством.</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1.8. Администрация сельского округа является юридическим лицом, обладает соответствующими правами, имеет самостоятельный баланс, печать со своим наименованием, штампы, бланк и собственные счета.</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1.9. Полное официальное наименование: администрация  Кутаисского сельского округа муниципального образования муниципальный округ город Горячий Ключ Краснодарского края.</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Сокращенное наименование: администрация  Кутаисского  с/о МО ГК.</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xml:space="preserve">1.10. Место нахождения администрации  Кутаисского сельского округа МО ГК :  </w:t>
      </w:r>
      <w:bookmarkStart w:id="0" w:name="_Hlk183441045"/>
      <w:r>
        <w:rPr>
          <w:rFonts w:eastAsia="Times New Roman" w:cs="Times New Roman" w:ascii="Times New Roman" w:hAnsi="Times New Roman"/>
          <w:sz w:val="28"/>
        </w:rPr>
        <w:t>353271 Российская Федерация, Краснодарский край, муниципальный округ город Горячий Ключ, поселок  Кутаис улица  Ленина дом  96 .</w:t>
      </w:r>
      <w:bookmarkEnd w:id="0"/>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1.11. Официальный электронный адрес Администрации сельского округа: отсутствует.</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1.12. Работу Администрации сельского округа курирует заместитель главы муниципального образования муниципальный округ город Горячий Ключ Краснодарского края в соответствии с муниципальными правовыми актами (далее – Заместитель главы города Горячий Ключ).</w:t>
      </w:r>
    </w:p>
    <w:p>
      <w:pPr>
        <w:pStyle w:val="Normal"/>
        <w:widowControl w:val="false"/>
        <w:spacing w:lineRule="auto" w:line="240" w:before="0" w:after="0"/>
        <w:ind w:firstLine="851"/>
        <w:jc w:val="both"/>
        <w:rPr>
          <w:rFonts w:ascii="Times New Roman" w:hAnsi="Times New Roman" w:eastAsia="Times New Roman" w:cs="Times New Roman"/>
          <w:sz w:val="28"/>
        </w:rPr>
      </w:pPr>
      <w:r>
        <w:rPr>
          <w:rFonts w:eastAsia="Times New Roman" w:cs="Times New Roman" w:ascii="Times New Roman" w:hAnsi="Times New Roman"/>
          <w:sz w:val="28"/>
        </w:rPr>
      </w:r>
    </w:p>
    <w:tbl>
      <w:tblPr>
        <w:tblStyle w:val="a3"/>
        <w:tblW w:w="9628"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9628"/>
      </w:tblGrid>
      <w:tr>
        <w:trPr/>
        <w:tc>
          <w:tcPr>
            <w:tcW w:w="9628" w:type="dxa"/>
            <w:tcBorders>
              <w:top w:val="nil"/>
              <w:left w:val="nil"/>
              <w:bottom w:val="nil"/>
              <w:right w:val="nil"/>
            </w:tcBorders>
          </w:tcPr>
          <w:p>
            <w:pPr>
              <w:pStyle w:val="Normal"/>
              <w:widowControl w:val="false"/>
              <w:spacing w:lineRule="auto" w:line="240" w:before="0" w:after="0"/>
              <w:jc w:val="center"/>
              <w:rPr>
                <w:rFonts w:ascii="Times New Roman" w:hAnsi="Times New Roman" w:cs="Times New Roman"/>
                <w:b/>
                <w:b/>
                <w:sz w:val="28"/>
                <w:szCs w:val="28"/>
              </w:rPr>
            </w:pPr>
            <w:r>
              <w:rPr>
                <w:rFonts w:eastAsia="Calibri" w:cs="Times New Roman" w:ascii="Times New Roman" w:hAnsi="Times New Roman"/>
                <w:b/>
                <w:kern w:val="0"/>
                <w:sz w:val="28"/>
                <w:szCs w:val="28"/>
                <w:lang w:val="ru-RU" w:eastAsia="en-US" w:bidi="ar-SA"/>
              </w:rPr>
              <w:t>2. Основные задачи администрации сельского округа</w:t>
            </w:r>
          </w:p>
        </w:tc>
      </w:tr>
    </w:tbl>
    <w:p>
      <w:pPr>
        <w:pStyle w:val="Normal"/>
        <w:widowControl w:val="false"/>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Основными задачами Администрации сельского округа являются:</w:t>
      </w:r>
    </w:p>
    <w:p>
      <w:pPr>
        <w:pStyle w:val="Normal"/>
        <w:spacing w:lineRule="atLeast" w:line="100" w:before="0" w:after="0"/>
        <w:ind w:firstLine="851"/>
        <w:jc w:val="both"/>
        <w:rPr>
          <w:rFonts w:ascii="Times New Roman" w:hAnsi="Times New Roman" w:cs="Times New Roman"/>
          <w:sz w:val="28"/>
          <w:szCs w:val="28"/>
        </w:rPr>
      </w:pPr>
      <w:r>
        <w:rPr>
          <w:rFonts w:cs="Times New Roman" w:ascii="Times New Roman" w:hAnsi="Times New Roman"/>
          <w:sz w:val="28"/>
          <w:szCs w:val="28"/>
        </w:rPr>
        <w:t>Основными задачами Администрации округа  являются:</w:t>
      </w:r>
    </w:p>
    <w:p>
      <w:pPr>
        <w:pStyle w:val="Normal"/>
        <w:spacing w:lineRule="atLeast" w:line="100" w:before="0" w:after="0"/>
        <w:ind w:firstLine="851"/>
        <w:jc w:val="both"/>
        <w:rPr/>
      </w:pPr>
      <w:r>
        <w:rPr>
          <w:rFonts w:cs="Times New Roman" w:ascii="Times New Roman" w:hAnsi="Times New Roman"/>
          <w:sz w:val="28"/>
          <w:szCs w:val="28"/>
        </w:rPr>
        <w:t>2.1. Осуществление управления подведомственной территорией на основе действующего законодательства и нормативных правовых  актов муни-ципального образования город Горячий Ключ.</w:t>
      </w:r>
    </w:p>
    <w:p>
      <w:pPr>
        <w:pStyle w:val="Normal"/>
        <w:spacing w:lineRule="atLeast" w:line="100" w:before="0" w:after="0"/>
        <w:ind w:firstLine="851"/>
        <w:jc w:val="both"/>
        <w:rPr/>
      </w:pPr>
      <w:r>
        <w:rPr>
          <w:rFonts w:cs="Times New Roman" w:ascii="Times New Roman" w:hAnsi="Times New Roman"/>
          <w:sz w:val="28"/>
          <w:szCs w:val="28"/>
        </w:rPr>
        <w:t>2.2. Удовлетворение основных жизненных потребностей населения округа в сферах, отнесенных к ее ведению.</w:t>
      </w:r>
    </w:p>
    <w:p>
      <w:pPr>
        <w:pStyle w:val="Normal"/>
        <w:spacing w:lineRule="atLeast" w:line="100" w:before="0" w:after="0"/>
        <w:ind w:firstLine="851"/>
        <w:jc w:val="both"/>
        <w:rPr/>
      </w:pPr>
      <w:r>
        <w:rPr>
          <w:rFonts w:cs="Times New Roman" w:ascii="Times New Roman" w:hAnsi="Times New Roman"/>
          <w:sz w:val="28"/>
          <w:szCs w:val="28"/>
        </w:rPr>
        <w:t>2.3. Информирование населения округа о своей деятельности и наиболее существенных вопросах экономического и социального развития округа.</w:t>
      </w:r>
    </w:p>
    <w:p>
      <w:pPr>
        <w:pStyle w:val="Normal"/>
        <w:spacing w:lineRule="atLeast" w:line="100" w:before="0" w:after="0"/>
        <w:ind w:firstLine="851"/>
        <w:jc w:val="both"/>
        <w:rPr/>
      </w:pPr>
      <w:r>
        <w:rPr>
          <w:rFonts w:cs="Times New Roman" w:ascii="Times New Roman" w:hAnsi="Times New Roman"/>
          <w:sz w:val="28"/>
          <w:szCs w:val="28"/>
        </w:rPr>
        <w:t>2.4.  Содействие развитию территориального общественного самоуправ-ления  на территории округа.</w:t>
      </w:r>
    </w:p>
    <w:p>
      <w:pPr>
        <w:pStyle w:val="Normal"/>
        <w:spacing w:lineRule="atLeast" w:line="100" w:before="0" w:after="0"/>
        <w:ind w:firstLine="851"/>
        <w:jc w:val="both"/>
        <w:rPr/>
      </w:pPr>
      <w:r>
        <w:rPr>
          <w:rFonts w:cs="Times New Roman" w:ascii="Times New Roman" w:hAnsi="Times New Roman"/>
          <w:sz w:val="28"/>
          <w:szCs w:val="28"/>
        </w:rPr>
        <w:t>2.5. Содействие соблюдению на территории округа законности, охране прав и свобод граждан.</w:t>
      </w:r>
    </w:p>
    <w:p>
      <w:pPr>
        <w:pStyle w:val="Normal"/>
        <w:widowControl w:val="false"/>
        <w:spacing w:lineRule="atLeast" w:line="100" w:before="0" w:after="0"/>
        <w:ind w:firstLine="851"/>
        <w:jc w:val="both"/>
        <w:rPr>
          <w:rFonts w:ascii="Times New Roman" w:hAnsi="Times New Roman" w:eastAsia="Times New Roman" w:cs="Times New Roman"/>
          <w:sz w:val="28"/>
        </w:rPr>
      </w:pPr>
      <w:r>
        <w:rPr>
          <w:rFonts w:eastAsia="Times New Roman" w:cs="Times New Roman" w:ascii="Times New Roman" w:hAnsi="Times New Roman"/>
          <w:sz w:val="28"/>
          <w:szCs w:val="28"/>
        </w:rPr>
        <w:t xml:space="preserve"> </w:t>
      </w:r>
    </w:p>
    <w:p>
      <w:pPr>
        <w:pStyle w:val="Normal"/>
        <w:widowControl w:val="false"/>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r>
    </w:p>
    <w:tbl>
      <w:tblPr>
        <w:tblStyle w:val="a3"/>
        <w:tblW w:w="9628"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9628"/>
      </w:tblGrid>
      <w:tr>
        <w:trPr/>
        <w:tc>
          <w:tcPr>
            <w:tcW w:w="9628" w:type="dxa"/>
            <w:tcBorders>
              <w:top w:val="nil"/>
              <w:left w:val="nil"/>
              <w:bottom w:val="nil"/>
              <w:right w:val="nil"/>
            </w:tcBorders>
          </w:tcPr>
          <w:p>
            <w:pPr>
              <w:pStyle w:val="Normal"/>
              <w:widowControl w:val="false"/>
              <w:spacing w:lineRule="auto" w:line="240" w:before="0" w:after="0"/>
              <w:jc w:val="center"/>
              <w:rPr>
                <w:rFonts w:ascii="Times New Roman" w:hAnsi="Times New Roman" w:cs="Times New Roman"/>
                <w:b/>
                <w:b/>
                <w:sz w:val="28"/>
                <w:szCs w:val="28"/>
              </w:rPr>
            </w:pPr>
            <w:r>
              <w:rPr>
                <w:rFonts w:eastAsia="Calibri" w:cs="Times New Roman" w:ascii="Times New Roman" w:hAnsi="Times New Roman"/>
                <w:b/>
                <w:kern w:val="0"/>
                <w:sz w:val="28"/>
                <w:szCs w:val="28"/>
                <w:lang w:val="en-US" w:eastAsia="en-US" w:bidi="ar-SA"/>
              </w:rPr>
              <w:t>3</w:t>
            </w:r>
            <w:r>
              <w:rPr>
                <w:rFonts w:eastAsia="Calibri" w:cs="Times New Roman" w:ascii="Times New Roman" w:hAnsi="Times New Roman"/>
                <w:b/>
                <w:kern w:val="0"/>
                <w:sz w:val="28"/>
                <w:szCs w:val="28"/>
                <w:lang w:val="ru-RU" w:eastAsia="en-US" w:bidi="ar-SA"/>
              </w:rPr>
              <w:t>. Функции администрации сельского округа</w:t>
            </w:r>
          </w:p>
        </w:tc>
      </w:tr>
    </w:tbl>
    <w:p>
      <w:pPr>
        <w:pStyle w:val="Normal"/>
        <w:widowControl w:val="false"/>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Администрация сельского округа в соответствии с возложенными на неё задачами осуществляет следующие функции:</w:t>
      </w:r>
    </w:p>
    <w:p>
      <w:pPr>
        <w:pStyle w:val="Normal"/>
        <w:spacing w:lineRule="atLeast" w:line="100" w:before="0" w:after="0"/>
        <w:ind w:firstLine="851"/>
        <w:jc w:val="both"/>
        <w:rPr>
          <w:rFonts w:ascii="Times New Roman" w:hAnsi="Times New Roman" w:cs="Times New Roman"/>
          <w:sz w:val="28"/>
          <w:szCs w:val="28"/>
        </w:rPr>
      </w:pPr>
      <w:r>
        <w:rPr>
          <w:rFonts w:cs="Times New Roman" w:ascii="Times New Roman" w:hAnsi="Times New Roman"/>
          <w:sz w:val="28"/>
          <w:szCs w:val="28"/>
        </w:rPr>
        <w:t>В соответствии с задачами  своей деятельности Администрация округа осуществляет следующие  функции:</w:t>
      </w:r>
    </w:p>
    <w:p>
      <w:pPr>
        <w:pStyle w:val="Normal"/>
        <w:spacing w:lineRule="atLeast" w:line="100" w:before="0" w:after="0"/>
        <w:ind w:firstLine="851"/>
        <w:jc w:val="both"/>
        <w:rPr/>
      </w:pPr>
      <w:r>
        <w:rPr>
          <w:rFonts w:cs="Times New Roman" w:ascii="Times New Roman" w:hAnsi="Times New Roman"/>
          <w:sz w:val="28"/>
          <w:szCs w:val="28"/>
        </w:rPr>
        <w:t>3.1. Разрабатывает и представляет на утверждение в администрацию муниципального образования город Горячий Ключ проекты планов благоустройства территории округа, организует их исполнение.</w:t>
      </w:r>
    </w:p>
    <w:p>
      <w:pPr>
        <w:pStyle w:val="Normal"/>
        <w:spacing w:lineRule="atLeast" w:line="100" w:before="0" w:after="0"/>
        <w:ind w:firstLine="851"/>
        <w:jc w:val="both"/>
        <w:rPr/>
      </w:pPr>
      <w:r>
        <w:rPr>
          <w:rFonts w:cs="Times New Roman" w:ascii="Times New Roman" w:hAnsi="Times New Roman"/>
          <w:sz w:val="28"/>
          <w:szCs w:val="28"/>
        </w:rPr>
        <w:t>3.2.  Получает от организаций всех форм собственности, расположенных на территории округа, необходимые сведения о проектах планов и программ, которые могут иметь экологические, демографические и иные последствия, затрагивающие интересы населения округа, производит обязательные для таких планов и программ согласования.</w:t>
      </w:r>
    </w:p>
    <w:p>
      <w:pPr>
        <w:pStyle w:val="Normal"/>
        <w:spacing w:lineRule="atLeast" w:line="100" w:before="0" w:after="0"/>
        <w:ind w:firstLine="851"/>
        <w:jc w:val="both"/>
        <w:rPr/>
      </w:pPr>
      <w:r>
        <w:rPr>
          <w:rFonts w:cs="Times New Roman" w:ascii="Times New Roman" w:hAnsi="Times New Roman"/>
          <w:sz w:val="28"/>
          <w:szCs w:val="28"/>
        </w:rPr>
        <w:t>3.3. Организует прием населения округа, а также рассмотрение жалоб, заявлений и предложений граждан и юридических лиц, принимает по ним необходимые меры в пределах своей компетенции.</w:t>
      </w:r>
    </w:p>
    <w:p>
      <w:pPr>
        <w:pStyle w:val="Normal"/>
        <w:spacing w:lineRule="atLeast" w:line="100" w:before="0" w:after="0"/>
        <w:ind w:firstLine="851"/>
        <w:jc w:val="both"/>
        <w:rPr/>
      </w:pPr>
      <w:r>
        <w:rPr>
          <w:rFonts w:cs="Times New Roman" w:ascii="Times New Roman" w:hAnsi="Times New Roman"/>
          <w:sz w:val="28"/>
          <w:szCs w:val="28"/>
        </w:rPr>
        <w:t>3.4. Выдает гражданам справки, предусмотренные законодательством.</w:t>
      </w:r>
    </w:p>
    <w:p>
      <w:pPr>
        <w:pStyle w:val="Normal"/>
        <w:spacing w:lineRule="atLeast" w:line="100" w:before="0" w:after="0"/>
        <w:ind w:firstLine="851"/>
        <w:jc w:val="both"/>
        <w:rPr/>
      </w:pPr>
      <w:r>
        <w:rPr>
          <w:rFonts w:cs="Times New Roman" w:ascii="Times New Roman" w:hAnsi="Times New Roman"/>
          <w:sz w:val="28"/>
          <w:szCs w:val="28"/>
        </w:rPr>
        <w:t>3.5. Обеспечивает учет и хранение архивных документов.</w:t>
      </w:r>
    </w:p>
    <w:p>
      <w:pPr>
        <w:pStyle w:val="Normal"/>
        <w:spacing w:lineRule="atLeast" w:line="100" w:before="0" w:after="0"/>
        <w:ind w:firstLine="851"/>
        <w:jc w:val="both"/>
        <w:rPr/>
      </w:pPr>
      <w:r>
        <w:rPr>
          <w:rFonts w:cs="Times New Roman" w:ascii="Times New Roman" w:hAnsi="Times New Roman"/>
          <w:sz w:val="28"/>
          <w:szCs w:val="28"/>
        </w:rPr>
        <w:t>3.6. Ведет похозяйственный учет на территории округа.</w:t>
      </w:r>
    </w:p>
    <w:p>
      <w:pPr>
        <w:pStyle w:val="Normal"/>
        <w:spacing w:lineRule="atLeast" w:line="100" w:before="0" w:after="0"/>
        <w:ind w:firstLine="851"/>
        <w:jc w:val="both"/>
        <w:rPr/>
      </w:pPr>
      <w:r>
        <w:rPr>
          <w:rFonts w:cs="Times New Roman" w:ascii="Times New Roman" w:hAnsi="Times New Roman"/>
          <w:sz w:val="28"/>
          <w:szCs w:val="28"/>
        </w:rPr>
        <w:t>3.7. Организует работу административной комиссии.</w:t>
      </w:r>
    </w:p>
    <w:p>
      <w:pPr>
        <w:pStyle w:val="Normal"/>
        <w:spacing w:lineRule="atLeast" w:line="100" w:before="0" w:after="0"/>
        <w:ind w:firstLine="851"/>
        <w:jc w:val="both"/>
        <w:rPr/>
      </w:pPr>
      <w:r>
        <w:rPr>
          <w:rFonts w:cs="Times New Roman" w:ascii="Times New Roman" w:hAnsi="Times New Roman"/>
          <w:sz w:val="28"/>
          <w:szCs w:val="28"/>
        </w:rPr>
        <w:t>3.8. Принимает участие в разработке планов, проектов планировки и застройки территории округа.</w:t>
      </w:r>
    </w:p>
    <w:p>
      <w:pPr>
        <w:pStyle w:val="Normal"/>
        <w:spacing w:lineRule="atLeast" w:line="100" w:before="0" w:after="0"/>
        <w:ind w:firstLine="851"/>
        <w:jc w:val="both"/>
        <w:rPr/>
      </w:pPr>
      <w:r>
        <w:rPr>
          <w:rFonts w:cs="Times New Roman" w:ascii="Times New Roman" w:hAnsi="Times New Roman"/>
          <w:sz w:val="28"/>
          <w:szCs w:val="28"/>
        </w:rPr>
        <w:t>3.9. Содействует организации работ по сбору и уточнению данных, необходимых для ведения земельного кадастра и кадастра объектов недви-жимости в отношении объектов, расположенных на территории округа.</w:t>
      </w:r>
    </w:p>
    <w:p>
      <w:pPr>
        <w:pStyle w:val="Normal"/>
        <w:spacing w:lineRule="atLeast" w:line="100" w:before="0" w:after="0"/>
        <w:ind w:firstLine="851"/>
        <w:jc w:val="both"/>
        <w:rPr/>
      </w:pPr>
      <w:r>
        <w:rPr>
          <w:rFonts w:cs="Times New Roman" w:ascii="Times New Roman" w:hAnsi="Times New Roman"/>
          <w:sz w:val="28"/>
          <w:szCs w:val="28"/>
        </w:rPr>
        <w:t>3.10. Предоставляет в соответствующие органы сведения о несанкционированных изменениях состояния территории округа.</w:t>
      </w:r>
    </w:p>
    <w:p>
      <w:pPr>
        <w:pStyle w:val="Normal"/>
        <w:spacing w:lineRule="atLeast" w:line="100" w:before="0" w:after="0"/>
        <w:ind w:firstLine="851"/>
        <w:jc w:val="both"/>
        <w:rPr/>
      </w:pPr>
      <w:r>
        <w:rPr>
          <w:rFonts w:cs="Times New Roman" w:ascii="Times New Roman" w:hAnsi="Times New Roman"/>
          <w:sz w:val="28"/>
          <w:szCs w:val="28"/>
        </w:rPr>
        <w:t>3.11. Принимает участие в планировании использования земель, находя-щихся в пределах территории округа.</w:t>
      </w:r>
    </w:p>
    <w:p>
      <w:pPr>
        <w:pStyle w:val="Normal"/>
        <w:spacing w:lineRule="atLeast" w:line="100" w:before="0" w:after="0"/>
        <w:ind w:firstLine="851"/>
        <w:jc w:val="both"/>
        <w:rPr/>
      </w:pPr>
      <w:r>
        <w:rPr>
          <w:rFonts w:cs="Times New Roman" w:ascii="Times New Roman" w:hAnsi="Times New Roman"/>
          <w:sz w:val="28"/>
          <w:szCs w:val="28"/>
        </w:rPr>
        <w:t>3.12. Оказывает содействие органам, осуществляющим надзор за использованием и охраной земель.</w:t>
      </w:r>
    </w:p>
    <w:p>
      <w:pPr>
        <w:pStyle w:val="Normal"/>
        <w:spacing w:lineRule="atLeast" w:line="100" w:before="0" w:after="0"/>
        <w:ind w:firstLine="851"/>
        <w:jc w:val="both"/>
        <w:rPr/>
      </w:pPr>
      <w:r>
        <w:rPr>
          <w:rFonts w:cs="Times New Roman" w:ascii="Times New Roman" w:hAnsi="Times New Roman"/>
          <w:sz w:val="28"/>
          <w:szCs w:val="28"/>
        </w:rPr>
        <w:t>3.13. Содействует защите прав собственников земли и землеполь-зователей на территории округа.</w:t>
      </w:r>
    </w:p>
    <w:p>
      <w:pPr>
        <w:pStyle w:val="Normal"/>
        <w:spacing w:lineRule="atLeast" w:line="100" w:before="0" w:after="0"/>
        <w:ind w:firstLine="851"/>
        <w:jc w:val="both"/>
        <w:rPr/>
      </w:pPr>
      <w:r>
        <w:rPr>
          <w:rFonts w:cs="Times New Roman" w:ascii="Times New Roman" w:hAnsi="Times New Roman"/>
          <w:sz w:val="28"/>
          <w:szCs w:val="28"/>
        </w:rPr>
        <w:t>3.14. Согласовывает изъятие и предоставление земель, расположенных на территории округа, осуществляемое по инициативе органов местного само-управления муниципального образования город Горячий Ключ и органов государственной власти.</w:t>
      </w:r>
    </w:p>
    <w:p>
      <w:pPr>
        <w:pStyle w:val="Normal"/>
        <w:spacing w:lineRule="atLeast" w:line="100" w:before="0" w:after="0"/>
        <w:ind w:firstLine="851"/>
        <w:jc w:val="both"/>
        <w:rPr/>
      </w:pPr>
      <w:r>
        <w:rPr>
          <w:rFonts w:cs="Times New Roman" w:ascii="Times New Roman" w:hAnsi="Times New Roman"/>
          <w:sz w:val="28"/>
          <w:szCs w:val="28"/>
        </w:rPr>
        <w:t>3.15. Оказывает содействие в исполнении муниципального бюджета по доходам и расходам  на подведомственной территории.</w:t>
      </w:r>
    </w:p>
    <w:p>
      <w:pPr>
        <w:pStyle w:val="Normal"/>
        <w:spacing w:lineRule="atLeast" w:line="100" w:before="0" w:after="0"/>
        <w:ind w:firstLine="851"/>
        <w:jc w:val="both"/>
        <w:rPr>
          <w:rFonts w:ascii="Times New Roman" w:hAnsi="Times New Roman" w:cs="Times New Roman"/>
          <w:sz w:val="28"/>
          <w:szCs w:val="28"/>
        </w:rPr>
      </w:pPr>
      <w:r>
        <w:rPr>
          <w:rFonts w:cs="Times New Roman" w:ascii="Times New Roman" w:hAnsi="Times New Roman"/>
          <w:sz w:val="28"/>
          <w:szCs w:val="28"/>
        </w:rPr>
        <w:t>3.16. Обеспечивает содействие в организации подготовки и проведения референдумов и выборов всех уровней власти на подведомственной терри-тории.</w:t>
      </w:r>
    </w:p>
    <w:p>
      <w:pPr>
        <w:pStyle w:val="Normal"/>
        <w:spacing w:lineRule="atLeast" w:line="100" w:before="0" w:after="0"/>
        <w:ind w:firstLine="851"/>
        <w:jc w:val="both"/>
        <w:rPr>
          <w:rFonts w:ascii="Times New Roman" w:hAnsi="Times New Roman" w:cs="Times New Roman"/>
          <w:sz w:val="28"/>
          <w:szCs w:val="28"/>
        </w:rPr>
      </w:pPr>
      <w:r>
        <w:rPr>
          <w:rFonts w:cs="Times New Roman" w:ascii="Times New Roman" w:hAnsi="Times New Roman"/>
          <w:sz w:val="28"/>
          <w:szCs w:val="28"/>
        </w:rPr>
        <w:t>3.17.Оказывает содействие органам, осуществляющим контроль за соблюдением природоохранного законодательства, правил охоты, рыбной ловли, сбора дикорастущих растений, плодов, ягод.</w:t>
      </w:r>
    </w:p>
    <w:p>
      <w:pPr>
        <w:pStyle w:val="Normal"/>
        <w:spacing w:lineRule="atLeast" w:line="100" w:before="0" w:after="0"/>
        <w:ind w:firstLine="851"/>
        <w:jc w:val="both"/>
        <w:rPr/>
      </w:pPr>
      <w:r>
        <w:rPr>
          <w:rFonts w:cs="Times New Roman" w:ascii="Times New Roman" w:hAnsi="Times New Roman"/>
          <w:sz w:val="28"/>
          <w:szCs w:val="28"/>
        </w:rPr>
        <w:t>3.18. Взаимодействует с организациями транспорта, связи, радио, телевидения, другими средствами массовой информации.</w:t>
      </w:r>
    </w:p>
    <w:p>
      <w:pPr>
        <w:pStyle w:val="Normal"/>
        <w:spacing w:lineRule="atLeast" w:line="100" w:before="0" w:after="0"/>
        <w:ind w:firstLine="851"/>
        <w:jc w:val="both"/>
        <w:rPr/>
      </w:pPr>
      <w:r>
        <w:rPr>
          <w:rFonts w:cs="Times New Roman" w:ascii="Times New Roman" w:hAnsi="Times New Roman"/>
          <w:sz w:val="28"/>
          <w:szCs w:val="28"/>
        </w:rPr>
        <w:t>3.19. Содействует развитию предприятий торговли, общественного пита-ния, бытового обслуживания населения, расположенных на территории  округа.</w:t>
      </w:r>
    </w:p>
    <w:p>
      <w:pPr>
        <w:pStyle w:val="Normal"/>
        <w:spacing w:lineRule="atLeast" w:line="100" w:before="0" w:after="0"/>
        <w:ind w:firstLine="851"/>
        <w:jc w:val="both"/>
        <w:rPr/>
      </w:pPr>
      <w:r>
        <w:rPr>
          <w:rFonts w:cs="Times New Roman" w:ascii="Times New Roman" w:hAnsi="Times New Roman"/>
          <w:sz w:val="28"/>
          <w:szCs w:val="28"/>
        </w:rPr>
        <w:t>3.20. Принимает меры, обеспечивающие бесперебойное коммунальное обслуживание населения, устойчивую работу объектов водо-, газо-, тепло-, энергоснабжения, находящихся в муниципальной собственности.</w:t>
      </w:r>
    </w:p>
    <w:p>
      <w:pPr>
        <w:pStyle w:val="Normal"/>
        <w:spacing w:lineRule="atLeast" w:line="100" w:before="0" w:after="0"/>
        <w:ind w:firstLine="851"/>
        <w:jc w:val="both"/>
        <w:rPr>
          <w:rFonts w:ascii="Times New Roman" w:hAnsi="Times New Roman" w:cs="Times New Roman"/>
          <w:sz w:val="28"/>
          <w:szCs w:val="28"/>
        </w:rPr>
      </w:pPr>
      <w:r>
        <w:rPr>
          <w:rFonts w:cs="Times New Roman" w:ascii="Times New Roman" w:hAnsi="Times New Roman"/>
          <w:sz w:val="28"/>
          <w:szCs w:val="28"/>
        </w:rPr>
        <w:t>3.21. Содействует обеспечению населения округа топливом.</w:t>
      </w:r>
    </w:p>
    <w:p>
      <w:pPr>
        <w:pStyle w:val="Normal"/>
        <w:spacing w:lineRule="atLeast" w:line="100" w:before="0" w:after="0"/>
        <w:ind w:firstLine="851"/>
        <w:jc w:val="both"/>
        <w:rPr/>
      </w:pPr>
      <w:r>
        <w:rPr>
          <w:rFonts w:cs="Times New Roman" w:ascii="Times New Roman" w:hAnsi="Times New Roman"/>
          <w:sz w:val="28"/>
          <w:szCs w:val="28"/>
        </w:rPr>
        <w:t>3.22. Организует благоустройство территории округа.</w:t>
      </w:r>
    </w:p>
    <w:p>
      <w:pPr>
        <w:pStyle w:val="Normal"/>
        <w:spacing w:lineRule="auto" w:line="240" w:before="0" w:after="0"/>
        <w:ind w:left="851" w:hanging="0"/>
        <w:jc w:val="both"/>
        <w:rPr/>
      </w:pPr>
      <w:r>
        <w:rPr>
          <w:rFonts w:cs="Times New Roman" w:ascii="Times New Roman" w:hAnsi="Times New Roman"/>
          <w:sz w:val="28"/>
          <w:szCs w:val="28"/>
        </w:rPr>
        <w:t xml:space="preserve">3.23. Организует обустройство мест массового отдыха населения. </w:t>
      </w:r>
    </w:p>
    <w:p>
      <w:pPr>
        <w:pStyle w:val="Normal"/>
        <w:spacing w:lineRule="auto" w:line="240" w:before="0" w:after="0"/>
        <w:ind w:firstLine="851"/>
        <w:jc w:val="both"/>
        <w:rPr/>
      </w:pPr>
      <w:r>
        <w:rPr>
          <w:rFonts w:cs="Times New Roman" w:ascii="Times New Roman" w:hAnsi="Times New Roman"/>
          <w:sz w:val="28"/>
          <w:szCs w:val="28"/>
        </w:rPr>
        <w:t>3.24. Содействует   проведению  мероприятий в  области образования, здравоохранения, культуры и спорта на территории округа.</w:t>
      </w:r>
    </w:p>
    <w:p>
      <w:pPr>
        <w:pStyle w:val="Normal"/>
        <w:spacing w:lineRule="atLeast" w:line="100" w:before="0" w:after="0"/>
        <w:ind w:firstLine="851"/>
        <w:jc w:val="both"/>
        <w:rPr>
          <w:rFonts w:ascii="Times New Roman" w:hAnsi="Times New Roman" w:cs="Times New Roman"/>
          <w:sz w:val="28"/>
          <w:szCs w:val="28"/>
        </w:rPr>
      </w:pPr>
      <w:r>
        <w:rPr>
          <w:rFonts w:cs="Times New Roman" w:ascii="Times New Roman" w:hAnsi="Times New Roman"/>
          <w:sz w:val="28"/>
          <w:szCs w:val="28"/>
        </w:rPr>
        <w:t>3.25. Содействует организации в округе рынков и ярмарок, контролю за соблюдением правил торговли и санитарным состоянием мест торговли.</w:t>
      </w:r>
    </w:p>
    <w:p>
      <w:pPr>
        <w:pStyle w:val="Normal"/>
        <w:spacing w:lineRule="atLeast" w:line="100" w:before="0" w:after="0"/>
        <w:ind w:firstLine="851"/>
        <w:jc w:val="both"/>
        <w:rPr/>
      </w:pPr>
      <w:r>
        <w:rPr>
          <w:rFonts w:cs="Times New Roman" w:ascii="Times New Roman" w:hAnsi="Times New Roman"/>
          <w:sz w:val="28"/>
          <w:szCs w:val="28"/>
        </w:rPr>
        <w:t>3.26. Содействует работе в округе культурно-просветительных учреж-дений с учетом национально-культурных традиций населения округа.</w:t>
      </w:r>
    </w:p>
    <w:p>
      <w:pPr>
        <w:pStyle w:val="Normal"/>
        <w:spacing w:lineRule="atLeast" w:line="100" w:before="0" w:after="0"/>
        <w:ind w:firstLine="851"/>
        <w:jc w:val="both"/>
        <w:rPr/>
      </w:pPr>
      <w:r>
        <w:rPr>
          <w:rFonts w:cs="Times New Roman" w:ascii="Times New Roman" w:hAnsi="Times New Roman"/>
          <w:sz w:val="28"/>
          <w:szCs w:val="28"/>
        </w:rPr>
        <w:t>3.27. Обеспечивает содействие в содержании и охране  исторических и культурных памятников, расположенных на территории округа.</w:t>
      </w:r>
    </w:p>
    <w:p>
      <w:pPr>
        <w:pStyle w:val="Normal"/>
        <w:spacing w:lineRule="atLeast" w:line="100" w:before="0" w:after="0"/>
        <w:ind w:firstLine="851"/>
        <w:jc w:val="both"/>
        <w:rPr/>
      </w:pPr>
      <w:r>
        <w:rPr>
          <w:rFonts w:cs="Times New Roman" w:ascii="Times New Roman" w:hAnsi="Times New Roman"/>
          <w:sz w:val="28"/>
          <w:szCs w:val="28"/>
        </w:rPr>
        <w:t>3.28. В порядке, установленном  действующим законодательством, спо-собствует проведению на территории округа гигиенических и санитарно-эпидемиологических мероприятий, информирует  население об экологической обстановке.</w:t>
      </w:r>
    </w:p>
    <w:p>
      <w:pPr>
        <w:pStyle w:val="Normal"/>
        <w:spacing w:lineRule="atLeast" w:line="100" w:before="0" w:after="0"/>
        <w:ind w:firstLine="851"/>
        <w:jc w:val="both"/>
        <w:rPr/>
      </w:pPr>
      <w:r>
        <w:rPr>
          <w:rFonts w:cs="Times New Roman" w:ascii="Times New Roman" w:hAnsi="Times New Roman"/>
          <w:sz w:val="28"/>
          <w:szCs w:val="28"/>
        </w:rPr>
        <w:t>3.29. Принимает в случаях стихийных бедствий и аварий меры по обес-печению безопасности населения, участвует в предупреждении и ликвидации последствий чрезвычайных ситуаций.</w:t>
      </w:r>
    </w:p>
    <w:p>
      <w:pPr>
        <w:pStyle w:val="Normal"/>
        <w:spacing w:lineRule="atLeast" w:line="100" w:before="0" w:after="0"/>
        <w:ind w:firstLine="851"/>
        <w:jc w:val="both"/>
        <w:rPr/>
      </w:pPr>
      <w:r>
        <w:rPr>
          <w:rFonts w:cs="Times New Roman" w:ascii="Times New Roman" w:hAnsi="Times New Roman"/>
          <w:sz w:val="28"/>
          <w:szCs w:val="28"/>
        </w:rPr>
        <w:t>3.30. Сообщает в соответствующие органы о действиях предприятий, учреждений, организаций и физических лиц, представляющих угрозу окру-жающей среде, нарушающих законодательство о природопользовании.</w:t>
      </w:r>
    </w:p>
    <w:p>
      <w:pPr>
        <w:pStyle w:val="Normal"/>
        <w:spacing w:lineRule="atLeast" w:line="100" w:before="0" w:after="0"/>
        <w:ind w:firstLine="851"/>
        <w:jc w:val="both"/>
        <w:rPr/>
      </w:pPr>
      <w:r>
        <w:rPr>
          <w:rFonts w:cs="Times New Roman" w:ascii="Times New Roman" w:hAnsi="Times New Roman"/>
          <w:sz w:val="28"/>
          <w:szCs w:val="28"/>
        </w:rPr>
        <w:t>3.31. Содействует устройству детей, оставшихся без попечения роди-телей, в детские дома, школы-интернаты и другие интернаты, на воспитание в семьи граждан.</w:t>
      </w:r>
    </w:p>
    <w:p>
      <w:pPr>
        <w:pStyle w:val="Normal"/>
        <w:spacing w:lineRule="atLeast" w:line="100" w:before="0" w:after="0"/>
        <w:ind w:firstLine="851"/>
        <w:jc w:val="both"/>
        <w:rPr/>
      </w:pPr>
      <w:r>
        <w:rPr>
          <w:rFonts w:cs="Times New Roman" w:ascii="Times New Roman" w:hAnsi="Times New Roman"/>
          <w:sz w:val="28"/>
          <w:szCs w:val="28"/>
        </w:rPr>
        <w:t>3.32. Оказывает содействие органам социальной защиты населения по выявлению семей, находящихся в трудной жизненной ситуации и мало-обеспеченных семей.</w:t>
      </w:r>
    </w:p>
    <w:p>
      <w:pPr>
        <w:pStyle w:val="Normal"/>
        <w:spacing w:lineRule="atLeast" w:line="100" w:before="0" w:after="0"/>
        <w:ind w:firstLine="851"/>
        <w:jc w:val="both"/>
        <w:rPr/>
      </w:pPr>
      <w:r>
        <w:rPr>
          <w:rFonts w:cs="Times New Roman" w:ascii="Times New Roman" w:hAnsi="Times New Roman"/>
          <w:sz w:val="28"/>
          <w:szCs w:val="28"/>
        </w:rPr>
        <w:t xml:space="preserve">3.33. Участвует в предупреждении и ликвидации последствий чрезвы-чайных ситуаций, содействует мобилизации людских ресурсов на территории округа. </w:t>
      </w:r>
    </w:p>
    <w:p>
      <w:pPr>
        <w:pStyle w:val="Normal"/>
        <w:spacing w:lineRule="atLeast" w:line="100" w:before="0" w:after="0"/>
        <w:ind w:firstLine="851"/>
        <w:jc w:val="both"/>
        <w:rPr/>
      </w:pPr>
      <w:r>
        <w:rPr>
          <w:rFonts w:cs="Times New Roman" w:ascii="Times New Roman" w:hAnsi="Times New Roman"/>
          <w:sz w:val="28"/>
          <w:szCs w:val="28"/>
        </w:rPr>
        <w:t>3.34.  Содействует работе по военно-патриотическому воспитанию граж-дан округа.</w:t>
      </w:r>
    </w:p>
    <w:p>
      <w:pPr>
        <w:pStyle w:val="Normal"/>
        <w:spacing w:lineRule="atLeast" w:line="100" w:before="0" w:after="0"/>
        <w:ind w:firstLine="851"/>
        <w:jc w:val="both"/>
        <w:rPr/>
      </w:pPr>
      <w:r>
        <w:rPr>
          <w:rFonts w:cs="Times New Roman" w:ascii="Times New Roman" w:hAnsi="Times New Roman"/>
          <w:sz w:val="28"/>
          <w:szCs w:val="28"/>
        </w:rPr>
        <w:t>3.35. Оказывает содействие в работе отделу военного комиссариата Краснодарского края по городу Горячий Ключ.</w:t>
      </w:r>
    </w:p>
    <w:p>
      <w:pPr>
        <w:pStyle w:val="Normal"/>
        <w:spacing w:lineRule="atLeast" w:line="100" w:before="0" w:after="0"/>
        <w:ind w:firstLine="851"/>
        <w:jc w:val="both"/>
        <w:rPr>
          <w:rFonts w:ascii="Times New Roman" w:hAnsi="Times New Roman" w:cs="Times New Roman"/>
          <w:sz w:val="28"/>
          <w:szCs w:val="28"/>
        </w:rPr>
      </w:pPr>
      <w:r>
        <w:rPr>
          <w:rFonts w:cs="Times New Roman" w:ascii="Times New Roman" w:hAnsi="Times New Roman"/>
          <w:sz w:val="28"/>
          <w:szCs w:val="28"/>
        </w:rPr>
        <w:t>3.36 Оказывает  содействие в  ремонте  автомобильных  дорог.</w:t>
      </w:r>
    </w:p>
    <w:p>
      <w:pPr>
        <w:pStyle w:val="Normal"/>
        <w:spacing w:lineRule="atLeast" w:line="100" w:before="0" w:after="0"/>
        <w:ind w:firstLine="851"/>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tLeast" w:line="100" w:before="0" w:after="0"/>
        <w:ind w:firstLine="851"/>
        <w:jc w:val="both"/>
        <w:rPr>
          <w:rFonts w:ascii="Times New Roman" w:hAnsi="Times New Roman" w:eastAsia="Times New Roman" w:cs="Times New Roman"/>
          <w:sz w:val="28"/>
        </w:rPr>
      </w:pPr>
      <w:r>
        <w:rPr>
          <w:rFonts w:eastAsia="Times New Roman" w:cs="Times New Roman" w:ascii="Times New Roman" w:hAnsi="Times New Roman"/>
          <w:sz w:val="28"/>
        </w:rPr>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r>
    </w:p>
    <w:tbl>
      <w:tblPr>
        <w:tblStyle w:val="a3"/>
        <w:tblW w:w="9628"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9628"/>
      </w:tblGrid>
      <w:tr>
        <w:trPr/>
        <w:tc>
          <w:tcPr>
            <w:tcW w:w="9628" w:type="dxa"/>
            <w:tcBorders>
              <w:top w:val="nil"/>
              <w:left w:val="nil"/>
              <w:bottom w:val="nil"/>
              <w:right w:val="nil"/>
            </w:tcBorders>
          </w:tcPr>
          <w:p>
            <w:pPr>
              <w:pStyle w:val="Normal"/>
              <w:widowControl w:val="false"/>
              <w:spacing w:lineRule="auto" w:line="240" w:before="0" w:after="0"/>
              <w:jc w:val="center"/>
              <w:rPr>
                <w:rFonts w:ascii="Times New Roman" w:hAnsi="Times New Roman" w:cs="Times New Roman"/>
                <w:b/>
                <w:b/>
                <w:sz w:val="28"/>
                <w:szCs w:val="28"/>
              </w:rPr>
            </w:pPr>
            <w:r>
              <w:rPr>
                <w:rFonts w:eastAsia="Calibri" w:cs="Times New Roman" w:ascii="Times New Roman" w:hAnsi="Times New Roman"/>
                <w:b/>
                <w:kern w:val="0"/>
                <w:sz w:val="28"/>
                <w:szCs w:val="28"/>
                <w:lang w:val="en-US" w:eastAsia="en-US" w:bidi="ar-SA"/>
              </w:rPr>
              <w:t>4</w:t>
            </w:r>
            <w:r>
              <w:rPr>
                <w:rFonts w:eastAsia="Calibri" w:cs="Times New Roman" w:ascii="Times New Roman" w:hAnsi="Times New Roman"/>
                <w:b/>
                <w:kern w:val="0"/>
                <w:sz w:val="28"/>
                <w:szCs w:val="28"/>
                <w:lang w:val="ru-RU" w:eastAsia="en-US" w:bidi="ar-SA"/>
              </w:rPr>
              <w:t xml:space="preserve">. Права  администрации  сельского округа </w:t>
            </w:r>
          </w:p>
        </w:tc>
      </w:tr>
    </w:tbl>
    <w:p>
      <w:pPr>
        <w:pStyle w:val="Normal"/>
        <w:widowControl w:val="false"/>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Администрация сельского округа во исполнение возложенных на неё функций имеет право:</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4.1. Разрабатывать и вносить на рассмотрение главы муниципального образования муниципальный округ город Горячий Ключ Краснодарского края (далее – Глава города Горячий Ключ) проекты муниципальных правовых актов, договоров, соглашений по вопросам, отнесённым к компетенции Администрации сельского округа.</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4.2. Заключать договоры и соглашения с физическими и юридическими лицами в соответствии с законодательством о закупочной деятельности для осуществления финансово-хозяйственной деятельности Администрации сельского округа.</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4.3. Запрашивать и получать в установленном порядке информацию по вопросам, входящим в компетенцию Администрации сельского округа.</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4.4. Образовывать комиссии, рабочие группы, принимать участие в работе совещательных органов при Главе города Горячий Ключ в соответствии со своей компетенцией.</w:t>
      </w:r>
    </w:p>
    <w:p>
      <w:pPr>
        <w:pStyle w:val="Normal"/>
        <w:widowControl w:val="false"/>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rPr>
        <w:t>4.5. Выступать в качестве истца, ответчика и третьих лиц в судебных органах.</w:t>
      </w:r>
    </w:p>
    <w:p>
      <w:pPr>
        <w:pStyle w:val="Normal"/>
        <w:widowControl w:val="false"/>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r>
    </w:p>
    <w:tbl>
      <w:tblPr>
        <w:tblStyle w:val="a3"/>
        <w:tblW w:w="9628"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9628"/>
      </w:tblGrid>
      <w:tr>
        <w:trPr/>
        <w:tc>
          <w:tcPr>
            <w:tcW w:w="9628" w:type="dxa"/>
            <w:tcBorders>
              <w:top w:val="nil"/>
              <w:left w:val="nil"/>
              <w:bottom w:val="nil"/>
              <w:right w:val="nil"/>
            </w:tcBorders>
          </w:tcPr>
          <w:p>
            <w:pPr>
              <w:pStyle w:val="Normal"/>
              <w:widowControl w:val="false"/>
              <w:spacing w:lineRule="auto" w:line="240" w:before="0" w:after="0"/>
              <w:jc w:val="center"/>
              <w:rPr>
                <w:rFonts w:ascii="Times New Roman" w:hAnsi="Times New Roman" w:cs="Times New Roman"/>
                <w:b/>
                <w:b/>
                <w:sz w:val="28"/>
                <w:szCs w:val="28"/>
              </w:rPr>
            </w:pPr>
            <w:r>
              <w:rPr>
                <w:rFonts w:eastAsia="Calibri" w:cs="Times New Roman" w:ascii="Times New Roman" w:hAnsi="Times New Roman"/>
                <w:b/>
                <w:kern w:val="0"/>
                <w:sz w:val="28"/>
                <w:szCs w:val="28"/>
                <w:lang w:val="ru-RU" w:eastAsia="en-US" w:bidi="ar-SA"/>
              </w:rPr>
              <w:t xml:space="preserve">5. Организация работы  администрации  сельского округа </w:t>
            </w:r>
          </w:p>
        </w:tc>
      </w:tr>
    </w:tbl>
    <w:p>
      <w:pPr>
        <w:pStyle w:val="Normal"/>
        <w:widowControl w:val="false"/>
        <w:spacing w:lineRule="auto" w:line="240" w:before="0" w:after="0"/>
        <w:ind w:firstLine="851"/>
        <w:jc w:val="both"/>
        <w:rPr>
          <w:rFonts w:ascii="Times New Roman" w:hAnsi="Times New Roman"/>
          <w:sz w:val="28"/>
          <w:szCs w:val="28"/>
        </w:rPr>
      </w:pPr>
      <w:r>
        <w:rPr>
          <w:rFonts w:ascii="Times New Roman" w:hAnsi="Times New Roman"/>
          <w:sz w:val="28"/>
          <w:szCs w:val="28"/>
        </w:rPr>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5.1. Структура и штатная численность Администрации сельского округа утверждается правовым актом Администрации г. Горячий Ключ по представлению главы Администрации сельского округа, согласованного с курирующим Заместителем главы города Горячий Ключ.</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5.2. Администрацию сельского округа возглавляет глава Администрации сельского округа, который назначается и освобождается от занимаемой должности Главой города Горячий Ключ.</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Глава Администрации сельского округа осуществляет руководство деятельностью Администрации сельского округа на принципах единоначалия и несёт персональную ответственность за выполнение возложенных на Администрацию сельского округа задач.</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5.3. Глава Администрации сельского округа:</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1) руководит деятельностью Администрации сельского округа;</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2) организует и обеспечивает выполнение возложенных на Администрацию сельского округа функций;</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3) готовит и представляет в установленном порядке отчёты о деятельности Администрации сельского округа,</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 xml:space="preserve">4) вносит в установленном порядке на рассмотрение Администрации г. Горячий Ключ проекты муниципальных правовых актов, договоров, соглашений по вопросам, отнесённым к компетенции  администрации  сельского округа </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5) представляет интересы органов местного самоуправления муниципального образования муниципальный округ город Горячий Ключ Краснодарского края и Администрации сельского округа в сфере компетенции Администрации сельского округа на государственных и иных уровнях;</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6) вносит предложения по формированию структуры и штатного расписания Администрации сельского округа;</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7) без доверенности осуществляет от имени Администрации сельского округа все юридические действия;</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8) представляет Администрацию сельского округа во всех учреждениях, организациях и предприятиях и распоряжается имуществом Администрации сельского округа в пределах своей компетенции, заключает договоры;</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9) ведёт приём граждан, рассматривает их обращения, заявления, жалобы;</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10) распределяет обязанности между работниками Администрации сельского округа и определяет их взаимозаменяемость;</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11) издаёт распоряжения.</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В период отсутствия главы Администрации сельского округа обязанности главы Администрации сельского округа исполняет лицо, назначенное соответствующим распоряжением Администрации г. Горячий Ключ.</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r>
    </w:p>
    <w:tbl>
      <w:tblPr>
        <w:tblStyle w:val="a3"/>
        <w:tblW w:w="9889"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9889"/>
      </w:tblGrid>
      <w:tr>
        <w:trPr/>
        <w:tc>
          <w:tcPr>
            <w:tcW w:w="9889" w:type="dxa"/>
            <w:tcBorders>
              <w:top w:val="nil"/>
              <w:left w:val="nil"/>
              <w:bottom w:val="nil"/>
              <w:right w:val="nil"/>
            </w:tcBorders>
          </w:tcPr>
          <w:p>
            <w:pPr>
              <w:pStyle w:val="Normal"/>
              <w:widowControl w:val="false"/>
              <w:spacing w:lineRule="auto" w:line="240" w:before="0" w:after="0"/>
              <w:jc w:val="center"/>
              <w:rPr>
                <w:rFonts w:ascii="Times New Roman" w:hAnsi="Times New Roman" w:cs="Times New Roman"/>
                <w:b/>
                <w:b/>
                <w:sz w:val="28"/>
                <w:szCs w:val="28"/>
              </w:rPr>
            </w:pPr>
            <w:r>
              <w:rPr>
                <w:rFonts w:eastAsia="Calibri" w:cs="Times New Roman" w:ascii="Times New Roman" w:hAnsi="Times New Roman"/>
                <w:b/>
                <w:kern w:val="0"/>
                <w:sz w:val="28"/>
                <w:szCs w:val="28"/>
                <w:lang w:val="ru-RU" w:eastAsia="en-US" w:bidi="ar-SA"/>
              </w:rPr>
              <w:t xml:space="preserve">6. Реорганизация и ликвидация  администрации  сельского округа </w:t>
            </w:r>
          </w:p>
        </w:tc>
      </w:tr>
    </w:tbl>
    <w:p>
      <w:pPr>
        <w:pStyle w:val="Normal"/>
        <w:widowControl w:val="false"/>
        <w:spacing w:lineRule="auto" w:line="240" w:before="0" w:after="0"/>
        <w:ind w:firstLine="851"/>
        <w:jc w:val="both"/>
        <w:rPr>
          <w:rFonts w:ascii="Times New Roman" w:hAnsi="Times New Roman"/>
          <w:sz w:val="28"/>
          <w:szCs w:val="28"/>
        </w:rPr>
      </w:pPr>
      <w:r>
        <w:rPr>
          <w:rFonts w:ascii="Times New Roman" w:hAnsi="Times New Roman"/>
          <w:sz w:val="28"/>
          <w:szCs w:val="28"/>
        </w:rPr>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6.1. Прекращение деятельности (ликвидация или реорганизация) Администрации сельского округа осуществляется по решению Совета муниципального образования муниципальный округ город Горячий Ключ Краснодарского края по представлению Главы города Горячий Ключ или по решению суда.</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6.2. Администрация сельского округа в целях реализации государственной, социальной, экономической и налоговой политики несёт ответственность за сохранность документов (управленческих, финансово-хозяйственных, по личному составу и др.); обеспечивает передачу на архивное хранение документов, имеющих научно-историческое значение, хранит и использует в установленном порядке документы по личному составу.</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6.3. При реорганизации Администрации сельского округа все документы (управленческие, финансово-хозяйственные, по личному составу и др.) передаются в соответствии с установленными правилами его правопреемнику.</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6.4. При ликвидации Администрации сельского округа документы постоянного хранения и документы по личному составу передаются на архивное хранение в архивные органы. Передача и упорядочение документов осуществляются силами и за счёт средств Администрации сельского округа в соответствии с требованиями архивных органов.</w:t>
      </w:r>
    </w:p>
    <w:p>
      <w:pPr>
        <w:pStyle w:val="Normal"/>
        <w:widowControl w:val="false"/>
        <w:spacing w:lineRule="auto" w:line="240" w:before="0" w:after="0"/>
        <w:ind w:firstLine="709"/>
        <w:jc w:val="both"/>
        <w:rPr>
          <w:rFonts w:ascii="Times New Roman" w:hAnsi="Times New Roman" w:eastAsia="Times New Roman" w:cs="Times New Roman"/>
          <w:sz w:val="28"/>
        </w:rPr>
      </w:pPr>
      <w:r>
        <w:rPr>
          <w:rFonts w:eastAsia="Times New Roman" w:cs="Times New Roman" w:ascii="Times New Roman" w:hAnsi="Times New Roman"/>
          <w:sz w:val="28"/>
        </w:rPr>
        <w:t>6.5. При реорганизации или ликвидации Администрации сельского округа Администрация сельского округа обязана обеспечить сохранность сведений, содержащих государственную тайну, и их носителей путем разработки и осуществления системы мер режима секретности, защиты информации, противодействий технической разведке, охраны и пожарной безопасности.</w:t>
      </w:r>
    </w:p>
    <w:sectPr>
      <w:headerReference w:type="default" r:id="rId2"/>
      <w:type w:val="nextPage"/>
      <w:pgSz w:w="11906" w:h="16838"/>
      <w:pgMar w:left="1701" w:right="567" w:header="709" w:top="1134" w:footer="0" w:bottom="851"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roman"/>
    <w:pitch w:val="variable"/>
  </w:font>
  <w:font w:name="Arial">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893664319"/>
    </w:sdtPr>
    <w:sdtContent>
      <w:p>
        <w:pPr>
          <w:pStyle w:val="Style23"/>
          <w:jc w:val="center"/>
          <w:rPr/>
        </w:pPr>
        <w:r>
          <w:rPr>
            <w:rFonts w:cs="Times New Roman" w:ascii="Times New Roman" w:hAnsi="Times New Roman"/>
            <w:sz w:val="24"/>
          </w:rPr>
          <w:fldChar w:fldCharType="begin"/>
        </w:r>
        <w:r>
          <w:rPr>
            <w:sz w:val="24"/>
            <w:rFonts w:cs="Times New Roman" w:ascii="Times New Roman" w:hAnsi="Times New Roman"/>
          </w:rPr>
          <w:instrText> PAGE </w:instrText>
        </w:r>
        <w:r>
          <w:rPr>
            <w:sz w:val="24"/>
            <w:rFonts w:cs="Times New Roman" w:ascii="Times New Roman" w:hAnsi="Times New Roman"/>
          </w:rPr>
          <w:fldChar w:fldCharType="separate"/>
        </w:r>
        <w:r>
          <w:rPr>
            <w:sz w:val="24"/>
            <w:rFonts w:cs="Times New Roman" w:ascii="Times New Roman" w:hAnsi="Times New Roman"/>
          </w:rPr>
          <w:t>6</w:t>
        </w:r>
        <w:r>
          <w:rPr>
            <w:sz w:val="24"/>
            <w:rFonts w:cs="Times New Roman" w:ascii="Times New Roman" w:hAnsi="Times New Roman"/>
          </w:rPr>
          <w:fldChar w:fldCharType="end"/>
        </w:r>
      </w:p>
    </w:sdtContent>
  </w:sdt>
  <w:p>
    <w:pPr>
      <w:pStyle w:val="Style23"/>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fals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4"/>
    <w:uiPriority w:val="99"/>
    <w:qFormat/>
    <w:rsid w:val="00a67e4d"/>
    <w:rPr/>
  </w:style>
  <w:style w:type="character" w:styleId="Style15" w:customStyle="1">
    <w:name w:val="Нижний колонтитул Знак"/>
    <w:basedOn w:val="DefaultParagraphFont"/>
    <w:link w:val="a6"/>
    <w:uiPriority w:val="99"/>
    <w:qFormat/>
    <w:rsid w:val="00a67e4d"/>
    <w:rPr/>
  </w:style>
  <w:style w:type="character" w:styleId="Style16" w:customStyle="1">
    <w:name w:val="Основной текст Знак"/>
    <w:basedOn w:val="DefaultParagraphFont"/>
    <w:link w:val="a8"/>
    <w:semiHidden/>
    <w:qFormat/>
    <w:rsid w:val="00471dc3"/>
    <w:rPr>
      <w:rFonts w:ascii="Times New Roman" w:hAnsi="Times New Roman" w:eastAsia="Times New Roman" w:cs="Times New Roman"/>
      <w:sz w:val="24"/>
      <w:szCs w:val="20"/>
      <w:lang w:eastAsia="ru-RU"/>
    </w:rPr>
  </w:style>
  <w:style w:type="paragraph" w:styleId="Style17">
    <w:name w:val="Заголовок"/>
    <w:basedOn w:val="Normal"/>
    <w:next w:val="Style18"/>
    <w:qFormat/>
    <w:pPr>
      <w:keepNext w:val="true"/>
      <w:spacing w:before="240" w:after="120"/>
    </w:pPr>
    <w:rPr>
      <w:rFonts w:ascii="Liberation Sans" w:hAnsi="Liberation Sans" w:eastAsia="Droid Sans Fallback" w:cs="Droid Sans Devanagari"/>
      <w:sz w:val="28"/>
      <w:szCs w:val="28"/>
    </w:rPr>
  </w:style>
  <w:style w:type="paragraph" w:styleId="Style18">
    <w:name w:val="Body Text"/>
    <w:basedOn w:val="Normal"/>
    <w:link w:val="a9"/>
    <w:semiHidden/>
    <w:rsid w:val="00471dc3"/>
    <w:pPr>
      <w:spacing w:lineRule="auto" w:line="240" w:before="0" w:after="0"/>
      <w:jc w:val="both"/>
    </w:pPr>
    <w:rPr>
      <w:rFonts w:ascii="Times New Roman" w:hAnsi="Times New Roman" w:eastAsia="Times New Roman" w:cs="Times New Roman"/>
      <w:sz w:val="24"/>
      <w:szCs w:val="20"/>
      <w:lang w:eastAsia="ru-RU"/>
    </w:rPr>
  </w:style>
  <w:style w:type="paragraph" w:styleId="Style19">
    <w:name w:val="List"/>
    <w:basedOn w:val="Style18"/>
    <w:pPr/>
    <w:rPr>
      <w:rFonts w:cs="Droid Sans Devanagari"/>
    </w:rPr>
  </w:style>
  <w:style w:type="paragraph" w:styleId="Style20">
    <w:name w:val="Caption"/>
    <w:basedOn w:val="Normal"/>
    <w:qFormat/>
    <w:pPr>
      <w:suppressLineNumbers/>
      <w:spacing w:before="120" w:after="120"/>
    </w:pPr>
    <w:rPr>
      <w:rFonts w:cs="Droid Sans Devanagari"/>
      <w:i/>
      <w:iCs/>
      <w:sz w:val="24"/>
      <w:szCs w:val="24"/>
    </w:rPr>
  </w:style>
  <w:style w:type="paragraph" w:styleId="Style21">
    <w:name w:val="Указатель"/>
    <w:basedOn w:val="Normal"/>
    <w:qFormat/>
    <w:pPr>
      <w:suppressLineNumbers/>
    </w:pPr>
    <w:rPr>
      <w:rFonts w:cs="Droid Sans Devanagari"/>
    </w:rPr>
  </w:style>
  <w:style w:type="paragraph" w:styleId="Style22">
    <w:name w:val="Верхний и нижний колонтитулы"/>
    <w:basedOn w:val="Normal"/>
    <w:qFormat/>
    <w:pPr/>
    <w:rPr/>
  </w:style>
  <w:style w:type="paragraph" w:styleId="Style23">
    <w:name w:val="Header"/>
    <w:basedOn w:val="Normal"/>
    <w:link w:val="a5"/>
    <w:uiPriority w:val="99"/>
    <w:unhideWhenUsed/>
    <w:rsid w:val="00a67e4d"/>
    <w:pPr>
      <w:tabs>
        <w:tab w:val="clear" w:pos="708"/>
        <w:tab w:val="center" w:pos="4677" w:leader="none"/>
        <w:tab w:val="right" w:pos="9355" w:leader="none"/>
      </w:tabs>
      <w:spacing w:lineRule="auto" w:line="240" w:before="0" w:after="0"/>
    </w:pPr>
    <w:rPr/>
  </w:style>
  <w:style w:type="paragraph" w:styleId="Style24">
    <w:name w:val="Footer"/>
    <w:basedOn w:val="Normal"/>
    <w:link w:val="a7"/>
    <w:uiPriority w:val="99"/>
    <w:unhideWhenUsed/>
    <w:rsid w:val="00a67e4d"/>
    <w:pPr>
      <w:tabs>
        <w:tab w:val="clear" w:pos="708"/>
        <w:tab w:val="center" w:pos="4677" w:leader="none"/>
        <w:tab w:val="right" w:pos="9355" w:leader="none"/>
      </w:tabs>
      <w:spacing w:lineRule="auto" w:line="240" w:before="0" w:after="0"/>
    </w:pPr>
    <w:rPr/>
  </w:style>
  <w:style w:type="paragraph" w:styleId="ConsPlusTitle" w:customStyle="1">
    <w:name w:val="ConsPlusTitle"/>
    <w:uiPriority w:val="99"/>
    <w:qFormat/>
    <w:rsid w:val="0050257d"/>
    <w:pPr>
      <w:widowControl w:val="false"/>
      <w:suppressAutoHyphens w:val="true"/>
      <w:bidi w:val="0"/>
      <w:spacing w:lineRule="auto" w:line="240" w:before="0" w:after="0"/>
      <w:jc w:val="left"/>
    </w:pPr>
    <w:rPr>
      <w:rFonts w:ascii="Arial" w:hAnsi="Arial" w:eastAsia="Times New Roman" w:cs="Arial"/>
      <w:b/>
      <w:bCs/>
      <w:color w:val="auto"/>
      <w:kern w:val="0"/>
      <w:sz w:val="20"/>
      <w:szCs w:val="20"/>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rsid w:val="0033244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A2C23-3BA2-429D-BC03-833E97012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Application>LibreOffice/7.0.6.2$Linux_X86_64 LibreOffice_project/00$Build-2</Application>
  <AppVersion>15.0000</AppVersion>
  <Pages>4</Pages>
  <Words>1347</Words>
  <Characters>7679</Characters>
  <CharactersWithSpaces>9008</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2024-07-25T15:00:00Z</dcterms:created>
  <dc:creator>Буторин Николай</dc:creator>
  <dc:description/>
  <dc:language>ru-RU</dc:language>
  <cp:lastModifiedBy/>
  <cp:lastPrinted>2025-02-18T10:01:47Z</cp:lastPrinted>
  <dcterms:modified xsi:type="dcterms:W3CDTF">2025-02-18T10:41:58Z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file>