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Title"/>
        <w:ind w:hanging="0"/>
        <w:rPr>
          <w:rFonts w:ascii="Times New Roman" w:hAnsi="Times New Roman" w:cs="Times New Roman"/>
          <w:b w:val="false"/>
          <w:sz w:val="28"/>
          <w:szCs w:val="28"/>
        </w:rPr>
      </w:pPr>
      <w:r>
        <w:rPr>
          <w:rFonts w:cs="Times New Roman" w:ascii="Times New Roman" w:hAnsi="Times New Roman"/>
          <w:b w:val="false"/>
          <w:sz w:val="28"/>
          <w:szCs w:val="28"/>
        </w:rPr>
        <w:t>УТВЕРЖДЕНО</w:t>
      </w:r>
    </w:p>
    <w:p>
      <w:pPr>
        <w:pStyle w:val="ConsPlusTitle"/>
        <w:ind w:left="5670" w:hanging="0"/>
        <w:rPr>
          <w:rFonts w:ascii="Times New Roman" w:hAnsi="Times New Roman" w:cs="Times New Roman"/>
          <w:b w:val="false"/>
          <w:sz w:val="28"/>
          <w:szCs w:val="28"/>
        </w:rPr>
      </w:pPr>
      <w:r>
        <w:rPr>
          <w:rFonts w:cs="Times New Roman" w:ascii="Times New Roman" w:hAnsi="Times New Roman"/>
          <w:b w:val="false"/>
          <w:sz w:val="28"/>
          <w:szCs w:val="28"/>
        </w:rPr>
        <w:t xml:space="preserve">решением Совета </w:t>
      </w:r>
    </w:p>
    <w:p>
      <w:pPr>
        <w:pStyle w:val="ConsPlusTitle"/>
        <w:ind w:left="5670" w:hanging="0"/>
        <w:rPr>
          <w:rFonts w:ascii="Times New Roman" w:hAnsi="Times New Roman" w:cs="Times New Roman"/>
          <w:b w:val="false"/>
          <w:sz w:val="28"/>
          <w:szCs w:val="28"/>
        </w:rPr>
      </w:pPr>
      <w:r>
        <w:rPr>
          <w:rFonts w:cs="Times New Roman" w:ascii="Times New Roman" w:hAnsi="Times New Roman"/>
          <w:b w:val="false"/>
          <w:sz w:val="28"/>
          <w:szCs w:val="28"/>
        </w:rPr>
        <w:t xml:space="preserve">г. Горячий Ключ </w:t>
      </w:r>
    </w:p>
    <w:p>
      <w:pPr>
        <w:pStyle w:val="ConsPlusTitle"/>
        <w:ind w:left="5670" w:hanging="0"/>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ind w:left="5670" w:hanging="0"/>
        <w:rPr>
          <w:rFonts w:ascii="Times New Roman" w:hAnsi="Times New Roman" w:cs="Times New Roman"/>
          <w:b w:val="false"/>
          <w:sz w:val="28"/>
          <w:szCs w:val="28"/>
        </w:rPr>
      </w:pPr>
      <w:r>
        <w:rPr>
          <w:rFonts w:cs="Times New Roman" w:ascii="Times New Roman" w:hAnsi="Times New Roman"/>
          <w:b w:val="false"/>
          <w:sz w:val="28"/>
          <w:szCs w:val="28"/>
        </w:rPr>
        <w:t>от __________ 2024 г. №_______</w:t>
      </w:r>
    </w:p>
    <w:p>
      <w:pPr>
        <w:pStyle w:val="Normal"/>
        <w:spacing w:lineRule="auto" w:line="240" w:before="0" w:after="0"/>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ПОРЯДОК</w:t>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проведения компенсационного озеленения на территории муниципального</w:t>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образования муниципальный округ город Горячий Ключ Краснодарского края</w:t>
      </w:r>
    </w:p>
    <w:p>
      <w:pPr>
        <w:pStyle w:val="Normal"/>
        <w:widowControl w:val="false"/>
        <w:spacing w:lineRule="auto" w:line="240" w:before="0" w:after="0"/>
        <w:jc w:val="center"/>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ListParagraph"/>
        <w:widowControl w:val="false"/>
        <w:numPr>
          <w:ilvl w:val="0"/>
          <w:numId w:val="1"/>
        </w:numPr>
        <w:tabs>
          <w:tab w:val="clear" w:pos="708"/>
          <w:tab w:val="left" w:pos="284" w:leader="none"/>
        </w:tabs>
        <w:spacing w:lineRule="auto" w:line="240" w:before="0" w:after="0"/>
        <w:ind w:left="0" w:hanging="11"/>
        <w:contextualSpacing/>
        <w:jc w:val="center"/>
        <w:rPr>
          <w:rFonts w:ascii="Times New Roman" w:hAnsi="Times New Roman" w:eastAsia="Times New Roman"/>
          <w:sz w:val="28"/>
          <w:szCs w:val="28"/>
          <w:lang w:eastAsia="ru-RU"/>
        </w:rPr>
      </w:pPr>
      <w:r>
        <w:rPr>
          <w:rFonts w:eastAsia="Times New Roman" w:ascii="Times New Roman" w:hAnsi="Times New Roman"/>
          <w:sz w:val="28"/>
          <w:szCs w:val="28"/>
          <w:lang w:eastAsia="ru-RU"/>
        </w:rPr>
        <w:t>Общие положения</w:t>
      </w:r>
    </w:p>
    <w:p>
      <w:pPr>
        <w:pStyle w:val="ListParagraph"/>
        <w:widowControl w:val="false"/>
        <w:spacing w:lineRule="auto" w:line="240" w:before="0" w:after="0"/>
        <w:ind w:left="720" w:firstLine="709"/>
        <w:contextualSpacing/>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1.1. Настоящий Порядок направлен на решение вопросов, связанных с созданием на территории муниципального образования муниципальный округ город Горячий Ключ Краснодарского края, новых зеленых насаждений взамен уничтоженных или поврежденных и их сохранением до полной приживаемости (далее - компенсационное озеленение) за счет средств для проведения компенсационного озеленения, поступающих в бюджет города Горячий Ключ.</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1.2. Средства для проведения компенсационного озеленения образуются за счет:</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платы за проведение компенсационного озеленения за вырубку (уничтожение) зеленых насаждений;</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возмещения (компенсации) вреда, причиненного зеленым насаждениям;</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штрафов за причинение вреда зеленым насаждениям, взимаемых в соответствии с законодательством об административных правонарушениях;</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безвозмездных поступлений от физических или юридических лиц, в том числе добровольных пожертвований на цели компенсационного озеленения.</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bCs/>
          <w:sz w:val="28"/>
          <w:szCs w:val="28"/>
        </w:rPr>
      </w:pPr>
      <w:r>
        <w:rPr>
          <w:rFonts w:cs="Times New Roman" w:ascii="Times New Roman" w:hAnsi="Times New Roman"/>
          <w:bCs/>
          <w:sz w:val="28"/>
          <w:szCs w:val="28"/>
        </w:rPr>
        <w:t>2. Порядок внесения платежей и планирования расходов бюджета</w:t>
      </w:r>
    </w:p>
    <w:p>
      <w:pPr>
        <w:pStyle w:val="Normal"/>
        <w:spacing w:lineRule="auto" w:line="240" w:before="0" w:after="0"/>
        <w:jc w:val="center"/>
        <w:rPr>
          <w:rFonts w:ascii="Times New Roman" w:hAnsi="Times New Roman" w:cs="Times New Roman"/>
          <w:bCs/>
          <w:sz w:val="28"/>
          <w:szCs w:val="28"/>
        </w:rPr>
      </w:pPr>
      <w:r>
        <w:rPr>
          <w:rFonts w:cs="Times New Roman" w:ascii="Times New Roman" w:hAnsi="Times New Roman"/>
          <w:bCs/>
          <w:sz w:val="28"/>
          <w:szCs w:val="28"/>
        </w:rPr>
        <w:t>города Горячий Ключ на проведение компенсационного озеленения</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2.1. Средства для проведения компенсационного озеленения поступают на единый счет бюджета города Горячий Ключ.</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При перечислении в бюджет города Горячий Ключ средств для проведения компенсационного озеленения в платежных документах указывается назначение платежа «Плата за проведение компенсационного озеленения».</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Администрация муниципального образования муниципальный округ город Горячий Ключ Краснодарского края направляет поступившие денежные средства для компенсационного озеленения на Управление жизнеобеспечения городского хозяйства администрации муниципального образования муниципальный округ город Горячий Ключ Краснодарского края (далее – УЖГХ) распорядителя средств отрасли «Жилищно-коммунального хозяйства».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2.2. Размер платы за проведение компенсационного озеленения или уничтожения зеленых насаждений определяется УЖГХ в порядке, </w:t>
      </w:r>
      <w:r>
        <w:rPr>
          <w:rFonts w:cs="Times New Roman" w:ascii="Times New Roman" w:hAnsi="Times New Roman"/>
          <w:color w:val="000000" w:themeColor="text1"/>
          <w:sz w:val="28"/>
          <w:szCs w:val="28"/>
        </w:rPr>
        <w:t xml:space="preserve">установленном </w:t>
      </w:r>
      <w:hyperlink r:id="rId2">
        <w:r>
          <w:rPr>
            <w:rFonts w:cs="Times New Roman" w:ascii="Times New Roman" w:hAnsi="Times New Roman"/>
            <w:color w:val="000000" w:themeColor="text1"/>
            <w:sz w:val="28"/>
            <w:szCs w:val="28"/>
          </w:rPr>
          <w:t>Законом</w:t>
        </w:r>
      </w:hyperlink>
      <w:r>
        <w:rPr>
          <w:rFonts w:cs="Times New Roman" w:ascii="Times New Roman" w:hAnsi="Times New Roman"/>
          <w:color w:val="000000" w:themeColor="text1"/>
          <w:sz w:val="28"/>
          <w:szCs w:val="28"/>
        </w:rPr>
        <w:t xml:space="preserve"> Краснодарского </w:t>
      </w:r>
      <w:r>
        <w:rPr>
          <w:rFonts w:cs="Times New Roman" w:ascii="Times New Roman" w:hAnsi="Times New Roman"/>
          <w:sz w:val="28"/>
          <w:szCs w:val="28"/>
        </w:rPr>
        <w:t>края от 23 апреля 2013 года № 2695-КЗ «Об охране зеленых насаждений в Краснодарском крае».</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2.3. Администрацией муниципального образования муниципальный округ город Горячий Ключ Краснодарского края, в соответствии с бюджетными полномочиями, установленными </w:t>
      </w:r>
      <w:hyperlink r:id="rId3">
        <w:r>
          <w:rPr>
            <w:rFonts w:cs="Times New Roman" w:ascii="Times New Roman" w:hAnsi="Times New Roman"/>
            <w:color w:val="000000" w:themeColor="text1"/>
            <w:sz w:val="28"/>
            <w:szCs w:val="28"/>
          </w:rPr>
          <w:t>статьей 160.1</w:t>
        </w:r>
      </w:hyperlink>
      <w:r>
        <w:rPr>
          <w:rFonts w:cs="Times New Roman" w:ascii="Times New Roman" w:hAnsi="Times New Roman"/>
          <w:color w:val="000000" w:themeColor="text1"/>
          <w:sz w:val="28"/>
          <w:szCs w:val="28"/>
        </w:rPr>
        <w:t xml:space="preserve"> </w:t>
      </w:r>
      <w:r>
        <w:rPr>
          <w:rFonts w:cs="Times New Roman" w:ascii="Times New Roman" w:hAnsi="Times New Roman"/>
          <w:sz w:val="28"/>
          <w:szCs w:val="28"/>
        </w:rPr>
        <w:t>Бюджетного кодекса Российской Федерации и на основании методики прогнозирования поступлений доходов в бюджет города Горячий Ключ, осуществляется расчет прогнозного объема поступлений средств для проведения компенсационного озеленения на очередной финансовый год и на плановый период.</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2.4. В ходе исполнения бюджета города горячий Ключ в текущем финансовом году, на основании данных бюджетной отчетности об исполнении бюджета города Горячий Ключ за первый квартал, полугодие и девять месяцев текущего финансового года, размер средств для проведения компенсационного озеленения, утвержденный в бюджете города Горячий Ключ, подлежит уточнению в случае получения положительной разницы между фактически поступившими средствами для проведения компенсационного озеленения и их объемом, утвержденным в бюджете города Горячий Ключ на текущий финансовый год.</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2.5. УЖГХ, на основании прогнозного объема поступлений средств для проведения компенсационного озеленения на очередной финансовый год и на плановый период разрабатывает план работ по компенсационному озеленению.</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Компенсационное озеленение осуществляется на территориях общего пользования местного значения, особо охраняемых природных территориях местного значения, объектов социальной инфраструктуры местного значения, муниципального образования муниципальный округ город Горячий Ключ Краснодарского края.</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План работ по компенсационному озеленению должен содержать:</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а) год, в котором планируется осуществление работ по компенсационному озеленению;</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б) адрес объекта зеленых насаждений (место на котором планируется компенсационное озеленение);</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в) информацию о количестве и виде зеленых насаждений, подлежащих размещению взамен поврежденных или уничтоженных.</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2.6. УЖГХ на очередной финансовый год и на плановый период, направляет план работ по компенсационному озеленению финансовому управлению администрации муниципального образования муниципальный округ город Горячий Ключ Краснодарского края.</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2.7. Финансовое управление администрации муниципального образования муниципальный округ город Горячий Ключ Краснодарского края на основании плана работ по компенсационному озеленению в установленном порядке осуществляют планирование расходов бюджета города Горячий Ключ на последующий финансовый год и на плановый период на проведение компенсационного озеленения, составляют обоснования бюджетных ассигнований.</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2.8. В ходе исполнения бюджета города Горячий Ключ в последующем финансовом году план работ по компенсационному озеленению подлежит корректировке УЖГХ в случае, </w:t>
      </w:r>
      <w:r>
        <w:rPr>
          <w:rFonts w:cs="Times New Roman" w:ascii="Times New Roman" w:hAnsi="Times New Roman"/>
          <w:color w:val="000000" w:themeColor="text1"/>
          <w:sz w:val="28"/>
          <w:szCs w:val="28"/>
        </w:rPr>
        <w:t xml:space="preserve">предусмотренном </w:t>
      </w:r>
      <w:hyperlink r:id="rId4">
        <w:r>
          <w:rPr>
            <w:rFonts w:cs="Times New Roman" w:ascii="Times New Roman" w:hAnsi="Times New Roman"/>
            <w:color w:val="000000" w:themeColor="text1"/>
            <w:sz w:val="28"/>
            <w:szCs w:val="28"/>
          </w:rPr>
          <w:t>пунктом 2.4</w:t>
        </w:r>
      </w:hyperlink>
      <w:r>
        <w:rPr>
          <w:rFonts w:cs="Times New Roman" w:ascii="Times New Roman" w:hAnsi="Times New Roman"/>
          <w:color w:val="000000" w:themeColor="text1"/>
          <w:sz w:val="28"/>
          <w:szCs w:val="28"/>
        </w:rPr>
        <w:t xml:space="preserve"> настоящего </w:t>
      </w:r>
      <w:r>
        <w:rPr>
          <w:rFonts w:cs="Times New Roman" w:ascii="Times New Roman" w:hAnsi="Times New Roman"/>
          <w:sz w:val="28"/>
          <w:szCs w:val="28"/>
        </w:rPr>
        <w:t>Порядка.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2.9. Средства для проведения компенсационного озеленения, поступившие в бюджет города Горячий Ключ в отчетном финансовом году и не использованные в полном объеме, подлежат направлению в последующем финансовом году на те же цели.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bCs/>
          <w:sz w:val="28"/>
          <w:szCs w:val="28"/>
        </w:rPr>
      </w:pPr>
      <w:r>
        <w:rPr>
          <w:rFonts w:cs="Times New Roman" w:ascii="Times New Roman" w:hAnsi="Times New Roman"/>
          <w:bCs/>
          <w:sz w:val="28"/>
          <w:szCs w:val="28"/>
        </w:rPr>
        <w:t>3. Порядок расходования средств для проведения</w:t>
      </w:r>
    </w:p>
    <w:p>
      <w:pPr>
        <w:pStyle w:val="Normal"/>
        <w:spacing w:lineRule="auto" w:line="240" w:before="0" w:after="0"/>
        <w:jc w:val="center"/>
        <w:rPr>
          <w:rFonts w:ascii="Times New Roman" w:hAnsi="Times New Roman" w:cs="Times New Roman"/>
          <w:bCs/>
          <w:sz w:val="28"/>
          <w:szCs w:val="28"/>
        </w:rPr>
      </w:pPr>
      <w:r>
        <w:rPr>
          <w:rFonts w:cs="Times New Roman" w:ascii="Times New Roman" w:hAnsi="Times New Roman"/>
          <w:bCs/>
          <w:sz w:val="28"/>
          <w:szCs w:val="28"/>
        </w:rPr>
        <w:t>компенсационного озеленения</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3.1. Расходование средств для проведения компенсационного озеленения осуществляется в соответствии с планом работ по компенсационному озеленению.</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Финансированию за счет средств для проведения компенсационного озеленения подлежат расходы на выполнение следующих работ:</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приобретение (заготовка) и доставка посадочного материала, включая выкапывание саженцев деревьев и кустарников, погрузку на автотранспорт и разгрузку, упаковку комов деревьев, оплату стоимости приобретаемых для компенсационного озеленения саженцев, семян, рулонных дерновых заготовок, рассады;</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подготовка почвы для устройства газона, цветника и посадка деревьев и кустарников, включая планировку, вспашку, дискование, рыхление почвы фрезой, перекопку, боронование, разравнивание почвы;</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внесение в почву органических и минеральных удобрений при подготовке посадочных мест, устройстве газонов и цветников;</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рытье ям и канав (траншей) для посадки деревьев и кустарников;</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замена грунта на 25%, 50% или 100% при посадке деревьев, кустарников, устройстве газонов и цветников;</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укрепление откосов с применением биоматов, деревянной решетки, одерновки, включая стоимость дерна;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посадка деревьев и кустарников в готовые ямы и траншеи;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устройство газонов, включая посев семян трав, гидропосев, укладку дерна;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устройство цветников;</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полив газонов, деревьев, кустарников при посадке;</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удаление не прижившихся в течение года после посадки деревьев и кустарников в пределах норм отпада в после посадочный период, подсев семян газонных трав;</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погрузка и вывоз мусора;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уход за зелеными насаждениями (хвойные растения, лиственные древесные породы 1-й группы - 7 лет; лиственные древесные породы 2-й группы - 5 лет; лиственные древесные породы 3-й группы - 3 года; кустарники - 1 год) после посадки, в том числе полив, рыхление почвы, внесение минеральных, органических удобрений и стимуляторов роста, оправка приствольных лунок, прополка сорняков, обрезка (стрижка) деревьев и кустарников, оправка саженцев, оправка и замена кольев, укрытие теплолюбивых зеленых насаждений на зиму;</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уход за газонами и цветниками после посадки, в том числе полив, покос и аэрация газонов, рыхление почвы и прополка сорняков, внесение минеральных удобрений, обрезка отцветших соцветий, мульчирование;</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проведение мероприятий по предупреждению распространения болезней растений и вредителей зеленых насаждений.</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3.3. Использование средств для компенсационного озеленения в иных целях запрещается.</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3.4. В целях соблюдения требований </w:t>
      </w:r>
      <w:hyperlink r:id="rId5">
        <w:r>
          <w:rPr>
            <w:rFonts w:cs="Times New Roman" w:ascii="Times New Roman" w:hAnsi="Times New Roman"/>
            <w:color w:val="000000" w:themeColor="text1"/>
            <w:sz w:val="28"/>
            <w:szCs w:val="28"/>
          </w:rPr>
          <w:t>Закона</w:t>
        </w:r>
      </w:hyperlink>
      <w:r>
        <w:rPr>
          <w:rFonts w:cs="Times New Roman" w:ascii="Times New Roman" w:hAnsi="Times New Roman"/>
          <w:color w:val="000000" w:themeColor="text1"/>
          <w:sz w:val="28"/>
          <w:szCs w:val="28"/>
        </w:rPr>
        <w:t xml:space="preserve"> </w:t>
      </w:r>
      <w:r>
        <w:rPr>
          <w:rFonts w:cs="Times New Roman" w:ascii="Times New Roman" w:hAnsi="Times New Roman"/>
          <w:sz w:val="28"/>
          <w:szCs w:val="28"/>
        </w:rPr>
        <w:t>Краснодарского края                        от 23 апреля 2013 года № 2695-КЗ «Об охране зеленых насаждений в Краснодарском крае» при проведении компенсационного озеленения УЖГХ обеспечивает:</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мониторинг проведения работ по компенсационному озеленению;</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участие в комиссионной приемке работ на объектах озеленения;</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контроль за качеством завозимых посадочных материалов и почво-грунтов, используемых при проведении работ по компенсационному озеленению, наличием сертификатов фитосанитарного контроля на посадочный материал, приживаемостью зеленых насаждений в период выполнения работ и гарантийного срока. </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3.5. После проведения работ по компенсационному озеленению данные о посадке новых зеленых насаждений в установленном порядке вносятся в реестр озелененных территорий муниципального образования муниципальный округ город Горячий Ключ Краснодарского края.</w:t>
      </w:r>
    </w:p>
    <w:p>
      <w:pPr>
        <w:pStyle w:val="Normal"/>
        <w:spacing w:lineRule="auto" w:line="240" w:before="0" w:after="0"/>
        <w:jc w:val="both"/>
        <w:rPr>
          <w:sz w:val="28"/>
          <w:szCs w:val="28"/>
        </w:rPr>
      </w:pPr>
      <w:r>
        <w:rPr>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Начальник управления</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жизнеобеспечения городского хозяйства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администрации муниципального образования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город Горячий Ключ</w:t>
        <w:tab/>
        <w:tab/>
        <w:tab/>
        <w:tab/>
        <w:tab/>
        <w:tab/>
        <w:t xml:space="preserve">        </w:t>
      </w:r>
      <w:bookmarkStart w:id="0" w:name="_GoBack"/>
      <w:bookmarkEnd w:id="0"/>
      <w:r>
        <w:rPr>
          <w:rFonts w:cs="Times New Roman" w:ascii="Times New Roman" w:hAnsi="Times New Roman"/>
          <w:sz w:val="28"/>
          <w:szCs w:val="28"/>
        </w:rPr>
        <w:t xml:space="preserve">                 В.Н. Черный</w:t>
      </w:r>
    </w:p>
    <w:sectPr>
      <w:headerReference w:type="default" r:id="rId6"/>
      <w:type w:val="nextPage"/>
      <w:pgSz w:w="11906" w:h="16838"/>
      <w:pgMar w:left="1701" w:right="567" w:gutter="0" w:header="709" w:top="993" w:footer="0" w:bottom="851"/>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Liberation Sans">
    <w:altName w:val="Arial"/>
    <w:charset w:val="cc"/>
    <w:family w:val="swiss"/>
    <w:pitch w:val="variable"/>
  </w:font>
  <w:font w:name="Arial">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238811739"/>
    </w:sdtPr>
    <w:sdtContent>
      <w:p>
        <w:pPr>
          <w:pStyle w:val="Style18"/>
          <w:jc w:val="center"/>
          <w:rPr>
            <w:rFonts w:ascii="Times New Roman" w:hAnsi="Times New Roman" w:cs="Times New Roman"/>
            <w:sz w:val="28"/>
            <w:szCs w:val="28"/>
          </w:rPr>
        </w:pPr>
        <w:r>
          <w:rPr>
            <w:rFonts w:cs="Times New Roman" w:ascii="Times New Roman" w:hAnsi="Times New Roman"/>
            <w:sz w:val="28"/>
            <w:szCs w:val="28"/>
          </w:rPr>
          <w:fldChar w:fldCharType="begin"/>
        </w:r>
        <w:r>
          <w:rPr>
            <w:sz w:val="28"/>
            <w:szCs w:val="28"/>
            <w:rFonts w:cs="Times New Roman" w:ascii="Times New Roman" w:hAnsi="Times New Roman"/>
          </w:rPr>
          <w:instrText xml:space="preserve"> PAGE </w:instrText>
        </w:r>
        <w:r>
          <w:rPr>
            <w:sz w:val="28"/>
            <w:szCs w:val="28"/>
            <w:rFonts w:cs="Times New Roman" w:ascii="Times New Roman" w:hAnsi="Times New Roman"/>
          </w:rPr>
          <w:fldChar w:fldCharType="separate"/>
        </w:r>
        <w:r>
          <w:rPr>
            <w:sz w:val="28"/>
            <w:szCs w:val="28"/>
            <w:rFonts w:cs="Times New Roman" w:ascii="Times New Roman" w:hAnsi="Times New Roman"/>
          </w:rPr>
          <w:t>4</w:t>
        </w:r>
        <w:r>
          <w:rPr>
            <w:sz w:val="28"/>
            <w:szCs w:val="28"/>
            <w:rFonts w:cs="Times New Roman" w:ascii="Times New Roman" w:hAnsi="Times New Roman"/>
          </w:rPr>
          <w:fldChar w:fldCharType="end"/>
        </w:r>
      </w:p>
    </w:sdtContent>
  </w:sdt>
  <w:p>
    <w:pPr>
      <w:pStyle w:val="Style18"/>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decimal"/>
      <w:lvlText w:val="%1.%2."/>
      <w:lvlJc w:val="left"/>
      <w:pPr>
        <w:tabs>
          <w:tab w:val="num" w:pos="0"/>
        </w:tabs>
        <w:ind w:left="1260" w:hanging="720"/>
      </w:pPr>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980" w:hanging="1080"/>
      </w:pPr>
      <w:rPr/>
    </w:lvl>
    <w:lvl w:ilvl="4">
      <w:start w:val="1"/>
      <w:numFmt w:val="decimal"/>
      <w:lvlText w:val="%1.%2.%3.%4.%5."/>
      <w:lvlJc w:val="left"/>
      <w:pPr>
        <w:tabs>
          <w:tab w:val="num" w:pos="0"/>
        </w:tabs>
        <w:ind w:left="2160" w:hanging="1080"/>
      </w:pPr>
      <w:rPr/>
    </w:lvl>
    <w:lvl w:ilvl="5">
      <w:start w:val="1"/>
      <w:numFmt w:val="decimal"/>
      <w:lvlText w:val="%1.%2.%3.%4.%5.%6."/>
      <w:lvlJc w:val="left"/>
      <w:pPr>
        <w:tabs>
          <w:tab w:val="num" w:pos="0"/>
        </w:tabs>
        <w:ind w:left="2700" w:hanging="1440"/>
      </w:pPr>
      <w:rPr/>
    </w:lvl>
    <w:lvl w:ilvl="6">
      <w:start w:val="1"/>
      <w:numFmt w:val="decimal"/>
      <w:lvlText w:val="%1.%2.%3.%4.%5.%6.%7."/>
      <w:lvlJc w:val="left"/>
      <w:pPr>
        <w:tabs>
          <w:tab w:val="num" w:pos="0"/>
        </w:tabs>
        <w:ind w:left="3240" w:hanging="1800"/>
      </w:pPr>
      <w:rPr/>
    </w:lvl>
    <w:lvl w:ilvl="7">
      <w:start w:val="1"/>
      <w:numFmt w:val="decimal"/>
      <w:lvlText w:val="%1.%2.%3.%4.%5.%6.%7.%8."/>
      <w:lvlJc w:val="left"/>
      <w:pPr>
        <w:tabs>
          <w:tab w:val="num" w:pos="0"/>
        </w:tabs>
        <w:ind w:left="3420" w:hanging="1800"/>
      </w:pPr>
      <w:rPr/>
    </w:lvl>
    <w:lvl w:ilvl="8">
      <w:start w:val="1"/>
      <w:numFmt w:val="decimal"/>
      <w:lvlText w:val="%1.%2.%3.%4.%5.%6.%7.%8.%9."/>
      <w:lvlJc w:val="left"/>
      <w:pPr>
        <w:tabs>
          <w:tab w:val="num" w:pos="0"/>
        </w:tabs>
        <w:ind w:left="3960" w:hanging="21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9" w:customStyle="1">
    <w:name w:val="Верхний колонтитул Знак"/>
    <w:basedOn w:val="DefaultParagraphFont"/>
    <w:uiPriority w:val="99"/>
    <w:qFormat/>
    <w:rsid w:val="00293df5"/>
    <w:rPr/>
  </w:style>
  <w:style w:type="character" w:styleId="Style10" w:customStyle="1">
    <w:name w:val="Нижний колонтитул Знак"/>
    <w:basedOn w:val="DefaultParagraphFont"/>
    <w:uiPriority w:val="99"/>
    <w:qFormat/>
    <w:rsid w:val="00293df5"/>
    <w:rPr/>
  </w:style>
  <w:style w:type="character" w:styleId="Style11" w:customStyle="1">
    <w:name w:val="Текст выноски Знак"/>
    <w:basedOn w:val="DefaultParagraphFont"/>
    <w:link w:val="BalloonText"/>
    <w:uiPriority w:val="99"/>
    <w:semiHidden/>
    <w:qFormat/>
    <w:rsid w:val="003e3268"/>
    <w:rPr>
      <w:rFonts w:ascii="Segoe UI" w:hAnsi="Segoe UI" w:cs="Segoe UI"/>
      <w:sz w:val="18"/>
      <w:szCs w:val="18"/>
    </w:rPr>
  </w:style>
  <w:style w:type="character" w:styleId="Strong">
    <w:name w:val="Strong"/>
    <w:basedOn w:val="DefaultParagraphFont"/>
    <w:uiPriority w:val="22"/>
    <w:qFormat/>
    <w:rsid w:val="00de1eef"/>
    <w:rPr>
      <w:b/>
      <w:bCs/>
    </w:rPr>
  </w:style>
  <w:style w:type="character" w:styleId="-">
    <w:name w:val="Hyperlink"/>
    <w:basedOn w:val="DefaultParagraphFont"/>
    <w:uiPriority w:val="99"/>
    <w:semiHidden/>
    <w:unhideWhenUsed/>
    <w:rsid w:val="00de1eef"/>
    <w:rPr>
      <w:color w:val="0000FF"/>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Style17">
    <w:name w:val="Колонтитул"/>
    <w:basedOn w:val="Normal"/>
    <w:qFormat/>
    <w:pPr/>
    <w:rPr/>
  </w:style>
  <w:style w:type="paragraph" w:styleId="Style18">
    <w:name w:val="Header"/>
    <w:basedOn w:val="Normal"/>
    <w:link w:val="Style9"/>
    <w:uiPriority w:val="99"/>
    <w:unhideWhenUsed/>
    <w:rsid w:val="00293df5"/>
    <w:pPr>
      <w:tabs>
        <w:tab w:val="clear" w:pos="708"/>
        <w:tab w:val="center" w:pos="4677" w:leader="none"/>
        <w:tab w:val="right" w:pos="9355" w:leader="none"/>
      </w:tabs>
      <w:spacing w:lineRule="auto" w:line="240" w:before="0" w:after="0"/>
    </w:pPr>
    <w:rPr/>
  </w:style>
  <w:style w:type="paragraph" w:styleId="Style19">
    <w:name w:val="Footer"/>
    <w:basedOn w:val="Normal"/>
    <w:link w:val="Style10"/>
    <w:uiPriority w:val="99"/>
    <w:unhideWhenUsed/>
    <w:rsid w:val="00293df5"/>
    <w:pPr>
      <w:tabs>
        <w:tab w:val="clear" w:pos="708"/>
        <w:tab w:val="center" w:pos="4677" w:leader="none"/>
        <w:tab w:val="right" w:pos="9355" w:leader="none"/>
      </w:tabs>
      <w:spacing w:lineRule="auto" w:line="240" w:before="0" w:after="0"/>
    </w:pPr>
    <w:rPr/>
  </w:style>
  <w:style w:type="paragraph" w:styleId="ConsPlusTitle" w:customStyle="1">
    <w:name w:val="ConsPlusTitle"/>
    <w:qFormat/>
    <w:rsid w:val="00293df5"/>
    <w:pPr>
      <w:widowControl w:val="false"/>
      <w:bidi w:val="0"/>
      <w:spacing w:lineRule="auto" w:line="240" w:before="0" w:after="0"/>
      <w:jc w:val="left"/>
    </w:pPr>
    <w:rPr>
      <w:rFonts w:ascii="Calibri" w:hAnsi="Calibri" w:eastAsia="Times New Roman" w:cs="Calibri" w:asciiTheme="minorHAnsi" w:hAnsiTheme="minorHAnsi"/>
      <w:b/>
      <w:color w:val="auto"/>
      <w:kern w:val="0"/>
      <w:sz w:val="22"/>
      <w:szCs w:val="20"/>
      <w:lang w:eastAsia="ru-RU" w:val="ru-RU" w:bidi="ar-SA"/>
    </w:rPr>
  </w:style>
  <w:style w:type="paragraph" w:styleId="ConsPlusNormal" w:customStyle="1">
    <w:name w:val="ConsPlusNormal"/>
    <w:qFormat/>
    <w:rsid w:val="00293df5"/>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0"/>
      <w:lang w:eastAsia="ru-RU" w:val="ru-RU" w:bidi="ar-SA"/>
    </w:rPr>
  </w:style>
  <w:style w:type="paragraph" w:styleId="BalloonText">
    <w:name w:val="Balloon Text"/>
    <w:basedOn w:val="Normal"/>
    <w:link w:val="Style11"/>
    <w:uiPriority w:val="99"/>
    <w:semiHidden/>
    <w:unhideWhenUsed/>
    <w:qFormat/>
    <w:rsid w:val="003e3268"/>
    <w:pPr>
      <w:spacing w:lineRule="auto" w:line="240" w:before="0" w:after="0"/>
    </w:pPr>
    <w:rPr>
      <w:rFonts w:ascii="Segoe UI" w:hAnsi="Segoe UI" w:cs="Segoe UI"/>
      <w:sz w:val="18"/>
      <w:szCs w:val="18"/>
    </w:rPr>
  </w:style>
  <w:style w:type="paragraph" w:styleId="FORMATTEXT" w:customStyle="1">
    <w:name w:val=".FORMATTEXT"/>
    <w:uiPriority w:val="99"/>
    <w:qFormat/>
    <w:rsid w:val="009f0789"/>
    <w:pPr>
      <w:widowControl w:val="false"/>
      <w:bidi w:val="0"/>
      <w:spacing w:lineRule="auto" w:line="240" w:before="0" w:after="0"/>
      <w:jc w:val="left"/>
    </w:pPr>
    <w:rPr>
      <w:rFonts w:ascii="Arial" w:hAnsi="Arial" w:eastAsia="" w:cs="Arial" w:eastAsiaTheme="minorEastAsia"/>
      <w:color w:val="auto"/>
      <w:kern w:val="0"/>
      <w:sz w:val="20"/>
      <w:szCs w:val="20"/>
      <w:lang w:eastAsia="ru-RU" w:val="ru-RU" w:bidi="ar-SA"/>
    </w:rPr>
  </w:style>
  <w:style w:type="paragraph" w:styleId="ListParagraph">
    <w:name w:val="List Paragraph"/>
    <w:basedOn w:val="Normal"/>
    <w:uiPriority w:val="34"/>
    <w:qFormat/>
    <w:rsid w:val="00f0489f"/>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64757B73051E306290CDACCD7CAA229D603C942BADF267E38E0513FF96A992FD976ECA86C0CA78E2BBFBC2CE014FDDEAz2B3N " TargetMode="External"/><Relationship Id="rId3" Type="http://schemas.openxmlformats.org/officeDocument/2006/relationships/hyperlink" Target="consultantplus://offline/ref=64757B73051E306290CDB2C06AC67F996634CA20A9F66FB6D45A48A2C1A098AAD02193D5879B70EBECB4879A124FDEF620E89E65685Cz6B1N " TargetMode="External"/><Relationship Id="rId4" Type="http://schemas.openxmlformats.org/officeDocument/2006/relationships/hyperlink" Target="file:///C:/Users/GlebchukEV/Downloads/l%20Par58" TargetMode="External"/><Relationship Id="rId5" Type="http://schemas.openxmlformats.org/officeDocument/2006/relationships/hyperlink" Target="consultantplus://offline/ref=64757B73051E306290CDACCD7CAA229D603C942BADF267E38E0513FF96A992FD976ECA86C0CA78E2BBFBC2CE014FDDEAz2B3N " TargetMode="External"/><Relationship Id="rId6" Type="http://schemas.openxmlformats.org/officeDocument/2006/relationships/header" Target="head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0ABB4-586D-4BC1-BA46-32F864B69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Application>LibreOffice/7.5.0.3$Windows_X86_64 LibreOffice_project/c21113d003cd3efa8c53188764377a8272d9d6de</Application>
  <AppVersion>15.0000</AppVersion>
  <Pages>4</Pages>
  <Words>1048</Words>
  <Characters>7679</Characters>
  <CharactersWithSpaces>8723</CharactersWithSpaces>
  <Paragraphs>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2024-11-26T07:37:00Z</dcterms:created>
  <dc:creator>Киреева Мария Валериевна</dc:creator>
  <dc:description/>
  <dc:language>ru-RU</dc:language>
  <cp:lastModifiedBy/>
  <cp:lastPrinted>2024-12-20T09:24:00Z</cp:lastPrinted>
  <dcterms:modified xsi:type="dcterms:W3CDTF">2024-12-24T11:35:29Z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