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от ______________ 2024 года                                                              №_____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изменения в решение Совета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город Горячий Ключ от 28 января 2022 года № 134 «Об утверждении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Положения об оплате труда лиц, замещающих муниципальные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должности органов местного самоуправления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bookmarkStart w:id="0" w:name="_Hlk116999758"/>
      <w:r>
        <w:rPr>
          <w:b/>
          <w:szCs w:val="28"/>
        </w:rPr>
        <w:t>муниципального образования город Горячий Ключ»</w:t>
      </w:r>
      <w:bookmarkEnd w:id="0"/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16, 35, 43, 53 Федерального закона от                        6 октября 2003 года № 131-ФЗ «Об общих принципах организации местного самоуправления в Российской Федерации», статьей 86 Бюджетного кодекса Российской Федерации, Уставом муниципального образования город Горячий Ключ, </w:t>
      </w:r>
      <w:r>
        <w:rPr>
          <w:rFonts w:cs="Times New Roman" w:ascii="Times New Roman" w:hAnsi="Times New Roman"/>
          <w:sz w:val="28"/>
          <w:szCs w:val="28"/>
        </w:rPr>
        <w:t xml:space="preserve">в целях реализации положений статей 130, 134 Трудового кодекса Российской Федерации, во исполнение пункта 17 решения Совета муниципального образования город Горячий Ключ от 15 декабря 2023 г. 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№ 282 «О бюджете муниципального образования город Горячий Ключ на 2024 год и на плановый период 2025 и 2026 годов»,</w:t>
      </w:r>
      <w:r>
        <w:rPr>
          <w:rFonts w:ascii="Times New Roman" w:hAnsi="Times New Roman"/>
          <w:sz w:val="28"/>
          <w:szCs w:val="28"/>
        </w:rPr>
        <w:t xml:space="preserve"> Совет муниципального образования город Горячий Ключ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РЕШИЛ:</w:t>
      </w:r>
    </w:p>
    <w:p>
      <w:pPr>
        <w:pStyle w:val="1"/>
        <w:spacing w:lineRule="auto" w:line="240"/>
        <w:ind w:firstLine="540"/>
        <w:rPr>
          <w:bCs/>
          <w:szCs w:val="28"/>
        </w:rPr>
      </w:pPr>
      <w:r>
        <w:rPr>
          <w:szCs w:val="28"/>
        </w:rPr>
        <w:t xml:space="preserve">1. Внести изменение в решение Совета муниципального образования город Горячий Ключ </w:t>
      </w:r>
      <w:r>
        <w:rPr>
          <w:bCs/>
          <w:szCs w:val="28"/>
        </w:rPr>
        <w:t>от 28 января 2022 года № 134 «Об утверждении Положения об оплате труда лиц, замещающих муниципальные должности органов местного самоуправления муниципального образования город Горячий Ключ» (далее –       решение), изложив приложение к Положению об оплате труда лиц, замещающих муниципальные должности органов местного самоуправления муниципального образования город Горячий Ключ в новой редакции (приложение).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город Горячий Ключ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 и распространяет свое действие на правоотношения, возникшие с 1 ноября 2024 г.</w:t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1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386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Глава муниципального образования город Горячий Ключ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______________С.В. Белопольский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Председатель Совета 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муниципального образования 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город Горячий Ключ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righ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center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_______________Д. Г. Бугай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ЛИСТ СОГЛАСОВАНИЯ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решения Совета муниципального образования город Горячий Ключ от __________ 2024 года № 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изменения в решение Совета 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 от 28 января 2022 года № 134 «Об утверждении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Положения об оплате труда лиц, замещающих муниципальные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должности органов местного самоуправления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город Горячий Ключ»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                                                               С. В. Белопольский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Финансовым управлением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Горячий Ключ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управления,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  <w:tab/>
        <w:t xml:space="preserve">                                                           В.В. Житина</w:t>
        <w:tab/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  <w:tab/>
        <w:t xml:space="preserve">                                                          С. Н. Сарницкий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 Горячий Ключ                                                               В.В. Назарс            </w:t>
        <w:tab/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обеспечению деятельности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                                                               Ю.В. Ильина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кадров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Горячий Ключ                                         Г.А. Аглутдинова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Приложение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Положению об оплате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труда лиц, замещающих 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муниципальные должности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органов местного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самоуправления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от _______________№______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«Приложение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к решению Совета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город Горячий Ключ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от 28 января 2022 года № 134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(в редакции решения Совета       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      </w:t>
      </w:r>
    </w:p>
    <w:p>
      <w:pPr>
        <w:pStyle w:val="Normal"/>
        <w:spacing w:lineRule="auto" w:line="240" w:before="0" w:after="0"/>
        <w:ind w:left="453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город Горячий Ключ 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ind w:left="4536" w:hanging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от ______________№_______)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РАЗМЕР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должностного оклада и ежемесячного денежного </w:t>
      </w:r>
      <w:r>
        <w:rPr>
          <w:rFonts w:ascii="Times New Roman" w:hAnsi="Times New Roman"/>
          <w:sz w:val="28"/>
          <w:szCs w:val="28"/>
        </w:rPr>
        <w:t xml:space="preserve">поощрения лиц, замещающих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должности органов местного самоуправления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город Горячий Ключ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5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55"/>
        <w:gridCol w:w="2097"/>
        <w:gridCol w:w="2554"/>
      </w:tblGrid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Наименование муниципальной должности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Размер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должностного оклада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(рублей в месяц)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Ежемесячное денежное  поощрение  (количество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должностных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окладов)</w:t>
            </w:r>
          </w:p>
        </w:tc>
      </w:tr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Глава муниципального образования город Горячий Ключ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17418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9,2</w:t>
            </w:r>
          </w:p>
        </w:tc>
      </w:tr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Заместитель председателя Совета</w:t>
            </w:r>
          </w:p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муниципального образования город Горячий Ключ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16849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9,2</w:t>
            </w:r>
          </w:p>
        </w:tc>
      </w:tr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Председатель Контрольно-счетной палаты муниципального образования город Горячий Ключ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15678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6,0</w:t>
            </w:r>
          </w:p>
        </w:tc>
      </w:tr>
      <w:tr>
        <w:trPr/>
        <w:tc>
          <w:tcPr>
            <w:tcW w:w="495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Заместитель председателя Контрольно-счетной палаты муниципального образования город Горячий Ключ</w:t>
            </w:r>
          </w:p>
        </w:tc>
        <w:tc>
          <w:tcPr>
            <w:tcW w:w="209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12148</w:t>
            </w:r>
          </w:p>
        </w:tc>
        <w:tc>
          <w:tcPr>
            <w:tcW w:w="255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5,5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 город Горячий Ключ,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>В.В. Житина</w:t>
      </w:r>
    </w:p>
    <w:sectPr>
      <w:headerReference w:type="default" r:id="rId3"/>
      <w:type w:val="nextPage"/>
      <w:pgSz w:w="11906" w:h="16838"/>
      <w:pgMar w:left="1701" w:right="567" w:gutter="0" w:header="284" w:top="341" w:footer="0" w:bottom="851"/>
      <w:pgNumType w:fmt="decimal"/>
      <w:formProt w:val="false"/>
      <w:titlePg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97780622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3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83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3d01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12" w:customStyle="1">
    <w:name w:val="Заголовок1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suppressAutoHyphens w:val="true"/>
      <w:bidi w:val="0"/>
      <w:spacing w:before="0" w:after="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6d3cb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Заголовок 1 Знак1"/>
    <w:basedOn w:val="a1"/>
    <w:uiPriority w:val="59"/>
    <w:rsid w:val="00445f62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2BC6F-73B4-454D-A0DC-8418BCF6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LibreOffice/7.5.0.3$Windows_X86_64 LibreOffice_project/c21113d003cd3efa8c53188764377a8272d9d6de</Application>
  <AppVersion>15.0000</AppVersion>
  <Pages>3</Pages>
  <Words>547</Words>
  <Characters>3875</Characters>
  <CharactersWithSpaces>5729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2024-09-12T12:10:00Z</dcterms:created>
  <dc:creator>Куслий Т. Ю.</dc:creator>
  <dc:description/>
  <dc:language>ru-RU</dc:language>
  <cp:lastModifiedBy/>
  <cp:lastPrinted>2024-10-07T05:42:00Z</cp:lastPrinted>
  <dcterms:modified xsi:type="dcterms:W3CDTF">2024-10-18T10:57:20Z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