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D32" w:rsidRDefault="008E2D32">
      <w:pPr>
        <w:spacing w:after="0" w:line="240" w:lineRule="auto"/>
        <w:jc w:val="center"/>
        <w:rPr>
          <w:rFonts w:ascii="Times New Roman" w:hAnsi="Times New Roman"/>
          <w:sz w:val="28"/>
          <w:szCs w:val="28"/>
        </w:rPr>
      </w:pPr>
    </w:p>
    <w:p w:rsidR="00F46FE8" w:rsidRDefault="00F46FE8">
      <w:pPr>
        <w:spacing w:after="0" w:line="240" w:lineRule="auto"/>
        <w:jc w:val="center"/>
        <w:rPr>
          <w:rFonts w:ascii="Times New Roman" w:hAnsi="Times New Roman"/>
          <w:sz w:val="28"/>
          <w:szCs w:val="28"/>
        </w:rPr>
      </w:pPr>
      <w:r w:rsidRPr="00F46FE8">
        <w:rPr>
          <w:rFonts w:ascii="Times New Roman" w:hAnsi="Times New Roman"/>
          <w:sz w:val="28"/>
          <w:szCs w:val="28"/>
        </w:rPr>
        <w:t xml:space="preserve">Аналитические сведения о работе с обращениями </w:t>
      </w:r>
    </w:p>
    <w:p w:rsidR="008E2D32" w:rsidRDefault="00D971D5">
      <w:pPr>
        <w:spacing w:after="0" w:line="240" w:lineRule="auto"/>
        <w:jc w:val="center"/>
        <w:rPr>
          <w:rFonts w:ascii="Times New Roman" w:hAnsi="Times New Roman"/>
          <w:sz w:val="28"/>
          <w:szCs w:val="28"/>
        </w:rPr>
      </w:pPr>
      <w:r>
        <w:rPr>
          <w:rFonts w:ascii="Times New Roman" w:hAnsi="Times New Roman"/>
          <w:sz w:val="28"/>
          <w:szCs w:val="28"/>
        </w:rPr>
        <w:t>в администрации муниципального</w:t>
      </w:r>
    </w:p>
    <w:p w:rsidR="008E2D32" w:rsidRDefault="00D971D5">
      <w:pPr>
        <w:spacing w:after="0" w:line="240" w:lineRule="auto"/>
        <w:jc w:val="center"/>
        <w:rPr>
          <w:rFonts w:ascii="Times New Roman" w:hAnsi="Times New Roman"/>
          <w:sz w:val="28"/>
          <w:szCs w:val="28"/>
        </w:rPr>
      </w:pPr>
      <w:r>
        <w:rPr>
          <w:rFonts w:ascii="Times New Roman" w:hAnsi="Times New Roman"/>
          <w:sz w:val="28"/>
          <w:szCs w:val="28"/>
        </w:rPr>
        <w:t>образования муниципальный округ город Горячий Ключ Краснодарско</w:t>
      </w:r>
      <w:r w:rsidR="000D5BF9">
        <w:rPr>
          <w:rFonts w:ascii="Times New Roman" w:hAnsi="Times New Roman"/>
          <w:sz w:val="28"/>
          <w:szCs w:val="28"/>
        </w:rPr>
        <w:t>го края за первое полугодие 2026</w:t>
      </w:r>
      <w:r>
        <w:rPr>
          <w:rFonts w:ascii="Times New Roman" w:hAnsi="Times New Roman"/>
          <w:sz w:val="28"/>
          <w:szCs w:val="28"/>
        </w:rPr>
        <w:t xml:space="preserve"> года</w:t>
      </w:r>
    </w:p>
    <w:p w:rsidR="008E2D32" w:rsidRDefault="008E2D32">
      <w:pPr>
        <w:spacing w:after="0" w:line="240" w:lineRule="auto"/>
        <w:jc w:val="center"/>
        <w:rPr>
          <w:rFonts w:ascii="Times New Roman" w:hAnsi="Times New Roman"/>
          <w:sz w:val="28"/>
          <w:szCs w:val="28"/>
        </w:rPr>
      </w:pPr>
    </w:p>
    <w:p w:rsidR="008E2D32" w:rsidRDefault="008E2D32" w:rsidP="005A0103">
      <w:pPr>
        <w:spacing w:after="0" w:line="240" w:lineRule="auto"/>
        <w:jc w:val="both"/>
        <w:rPr>
          <w:rFonts w:ascii="Times New Roman" w:hAnsi="Times New Roman"/>
          <w:sz w:val="28"/>
          <w:szCs w:val="28"/>
        </w:rPr>
      </w:pPr>
    </w:p>
    <w:p w:rsidR="000D5BF9" w:rsidRPr="000D5BF9" w:rsidRDefault="000D5BF9" w:rsidP="000D5BF9">
      <w:pPr>
        <w:pStyle w:val="af9"/>
        <w:ind w:firstLine="709"/>
        <w:jc w:val="both"/>
        <w:rPr>
          <w:sz w:val="28"/>
          <w:szCs w:val="28"/>
        </w:rPr>
      </w:pPr>
      <w:r w:rsidRPr="000D5BF9">
        <w:rPr>
          <w:sz w:val="28"/>
          <w:szCs w:val="28"/>
        </w:rPr>
        <w:t>Работа с обращениями граждан ведется в соответствии с Конституцией Российской Федерации, Федеральным законом от 02.05.2006 № 59-ФЗ «О порядке рассмотрения обращений граждан Российской Федерации», Законом Краснодарского края от 28.06.2007 № 1270-КЗ «О дополнительных гарантиях реализации права граждан на обращение в Краснодарском крае», Законом Краснодарского края от 23.06.2010 № 2000-КЗ «Об обеспечении доступа к информации о деятельности государственных органов Краснодарского края, органов местного самоуправления в Краснодарском крае», Порядком работы с обращениями граждан в администрации муниципального образования город Горячий Ключ (утвержден постановлением администрации муниципального образования муниципальный округ город Горячий Ключ Краснодарского края от 08.07.2025 №1314), методическими рекомендациями Администрации Президента Российской Федерации.</w:t>
      </w:r>
    </w:p>
    <w:p w:rsidR="000D5BF9" w:rsidRDefault="000D5BF9" w:rsidP="000D5BF9">
      <w:pPr>
        <w:pStyle w:val="af9"/>
        <w:ind w:firstLine="709"/>
        <w:jc w:val="both"/>
        <w:rPr>
          <w:sz w:val="28"/>
          <w:szCs w:val="28"/>
        </w:rPr>
      </w:pPr>
      <w:r w:rsidRPr="000D5BF9">
        <w:rPr>
          <w:sz w:val="28"/>
          <w:szCs w:val="28"/>
        </w:rPr>
        <w:t xml:space="preserve"> В администрацию муниципального образования муниципальный округ город Горячий Ключ Краснодарского края (далее – Администрация) за 1 полугодие 2026 года поступило всего 1588 обращений, в аналогичный период 2025 года 1355 обращений, что на 15,8% больше, из них:</w:t>
      </w:r>
    </w:p>
    <w:p w:rsidR="000D5BF9" w:rsidRPr="000D5BF9" w:rsidRDefault="000D5BF9" w:rsidP="000D5BF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lang w:eastAsia="ru-RU"/>
        </w:rPr>
      </w:pPr>
      <w:r w:rsidRPr="000D5BF9">
        <w:rPr>
          <w:rFonts w:ascii="Times New Roman" w:eastAsia="Times New Roman" w:hAnsi="Times New Roman"/>
          <w:sz w:val="28"/>
          <w:szCs w:val="28"/>
          <w:lang w:eastAsia="ru-RU"/>
        </w:rPr>
        <w:t>1341 письменных обращений, что на 16,9% больше в сравнении с аналогичным периодом 2025 года (1080 письменных обращений);</w:t>
      </w:r>
    </w:p>
    <w:p w:rsidR="000D5BF9" w:rsidRPr="000D5BF9" w:rsidRDefault="000D5BF9" w:rsidP="000D5BF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lang w:eastAsia="ru-RU"/>
        </w:rPr>
      </w:pPr>
      <w:r w:rsidRPr="000D5BF9">
        <w:rPr>
          <w:rFonts w:ascii="Times New Roman" w:eastAsia="Times New Roman" w:hAnsi="Times New Roman"/>
          <w:sz w:val="28"/>
          <w:szCs w:val="28"/>
          <w:lang w:eastAsia="ru-RU"/>
        </w:rPr>
        <w:t xml:space="preserve">в том числе из администрации Краснодарского края – 118 обращений, что на 27% меньше, чем в 2025 году (156 обращений). </w:t>
      </w:r>
    </w:p>
    <w:p w:rsidR="000D5BF9" w:rsidRPr="000D5BF9" w:rsidRDefault="000D5BF9" w:rsidP="000D5BF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lang w:eastAsia="ru-RU"/>
        </w:rPr>
      </w:pPr>
      <w:r w:rsidRPr="000D5BF9">
        <w:rPr>
          <w:rFonts w:ascii="Times New Roman" w:eastAsia="Times New Roman" w:hAnsi="Times New Roman"/>
          <w:sz w:val="28"/>
          <w:szCs w:val="28"/>
          <w:lang w:eastAsia="ru-RU"/>
        </w:rPr>
        <w:t>Большое внимание уделяется сообщениям, поступившим по телефону «горячей линии». Суть обращений оперативно передается исполнителям для разрешения проблем в максимально сжатые сроки. За прошедший период 2026 года по телефону «горячей линии» муниципального образования муниципальный округ город Горячий Ключ принято 217 сообщений, что меньше в сравнении с аналогичным периодом прошлого года на 10,48% (241 сообщение).</w:t>
      </w:r>
    </w:p>
    <w:p w:rsidR="000D5BF9" w:rsidRDefault="000D5BF9" w:rsidP="000D5BF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lang w:eastAsia="ru-RU"/>
        </w:rPr>
      </w:pPr>
      <w:r w:rsidRPr="000D5BF9">
        <w:rPr>
          <w:rFonts w:ascii="Times New Roman" w:eastAsia="Times New Roman" w:hAnsi="Times New Roman"/>
          <w:sz w:val="28"/>
          <w:szCs w:val="28"/>
          <w:lang w:eastAsia="ru-RU"/>
        </w:rPr>
        <w:t>Количество сообщений, поступивших в центр обработки сообщений администрации Краснодарского края составляет 30 сообщений, что в сравнении с 2025 годом (34 сообщений) уменьшилось на 12%.</w:t>
      </w:r>
    </w:p>
    <w:p w:rsidR="00F46FE8" w:rsidRPr="00F46FE8" w:rsidRDefault="00F46FE8" w:rsidP="000D5BF9">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rPr>
      </w:pPr>
      <w:r w:rsidRPr="000D5BF9">
        <w:rPr>
          <w:rFonts w:ascii="Times New Roman" w:eastAsia="Times New Roman" w:hAnsi="Times New Roman"/>
          <w:sz w:val="28"/>
          <w:szCs w:val="28"/>
          <w:lang w:eastAsia="ru-RU"/>
        </w:rPr>
        <w:t>Л</w:t>
      </w:r>
      <w:r w:rsidRPr="00F46FE8">
        <w:rPr>
          <w:rFonts w:ascii="Times New Roman" w:eastAsia="Times New Roman" w:hAnsi="Times New Roman"/>
          <w:sz w:val="28"/>
          <w:szCs w:val="28"/>
        </w:rPr>
        <w:t xml:space="preserve">ичный прием граждан организован и осуществляется в соответствии со ст. 13 Федерального закона от 2 мая 2006 года № 59-ФЗ «О порядке рассмотрения обращений граждан в Российской Федерации». </w:t>
      </w:r>
    </w:p>
    <w:p w:rsidR="00F46FE8" w:rsidRPr="00F46FE8" w:rsidRDefault="00F46FE8" w:rsidP="00F46FE8">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680"/>
        <w:jc w:val="both"/>
        <w:rPr>
          <w:rFonts w:ascii="Times New Roman" w:eastAsia="Times New Roman" w:hAnsi="Times New Roman"/>
          <w:sz w:val="28"/>
          <w:szCs w:val="28"/>
        </w:rPr>
      </w:pPr>
      <w:r w:rsidRPr="00F46FE8">
        <w:rPr>
          <w:rFonts w:ascii="Times New Roman" w:eastAsia="Times New Roman" w:hAnsi="Times New Roman"/>
          <w:sz w:val="28"/>
          <w:szCs w:val="28"/>
        </w:rPr>
        <w:lastRenderedPageBreak/>
        <w:t xml:space="preserve">Главой </w:t>
      </w:r>
      <w:r>
        <w:rPr>
          <w:rFonts w:ascii="Times New Roman" w:eastAsia="Times New Roman" w:hAnsi="Times New Roman"/>
          <w:sz w:val="28"/>
          <w:szCs w:val="28"/>
        </w:rPr>
        <w:t>города</w:t>
      </w:r>
      <w:r w:rsidRPr="00F46FE8">
        <w:rPr>
          <w:rFonts w:ascii="Times New Roman" w:eastAsia="Times New Roman" w:hAnsi="Times New Roman"/>
          <w:sz w:val="28"/>
          <w:szCs w:val="28"/>
        </w:rPr>
        <w:t xml:space="preserve"> и его заместителями ведется личный, в том числе выездной прием граждан на территориях сельских населе</w:t>
      </w:r>
      <w:r>
        <w:rPr>
          <w:rFonts w:ascii="Times New Roman" w:eastAsia="Times New Roman" w:hAnsi="Times New Roman"/>
          <w:sz w:val="28"/>
          <w:szCs w:val="28"/>
        </w:rPr>
        <w:t xml:space="preserve">нных пунктов. </w:t>
      </w:r>
    </w:p>
    <w:p w:rsidR="000D5BF9" w:rsidRDefault="000D5BF9" w:rsidP="00F46FE8">
      <w:pPr>
        <w:pStyle w:val="af9"/>
        <w:ind w:firstLine="709"/>
        <w:jc w:val="both"/>
        <w:rPr>
          <w:bCs/>
          <w:sz w:val="28"/>
          <w:szCs w:val="28"/>
        </w:rPr>
      </w:pPr>
      <w:r w:rsidRPr="000D5BF9">
        <w:rPr>
          <w:bCs/>
          <w:sz w:val="28"/>
          <w:szCs w:val="28"/>
        </w:rPr>
        <w:t>В 1-м полугодии 2026 года руководством Администрации на личных приемах принято 132 человека (в 2025 году 128 граждан), в том числе главой города – 29 человек (в 2025 году 21 человек).</w:t>
      </w:r>
    </w:p>
    <w:p w:rsidR="000D5BF9" w:rsidRP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Анализ тематики письменных обращений показал, что жителей муниципального образования город Горячий Ключ в 2026 году в основном волновали вопросы коммунального хозяйства. Удельный вес таких обращений в общем количестве поступивших обращений составил 79,3% (512 обращений).</w:t>
      </w:r>
    </w:p>
    <w:p w:rsidR="000D5BF9" w:rsidRP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Сюда входят вопросы по уборке мусора, расчистка и благоустройство ливневой канализации, перебои и качество водоснабжения, отключение электроэнергии, уличное освещение, комплексное благоустройство.</w:t>
      </w:r>
    </w:p>
    <w:p w:rsidR="000D5BF9" w:rsidRP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 xml:space="preserve">На втором месте блок «Транспорт и дорожное хозяйство» - 16,4% (116 обращений). Это, прежде всего, вопросы благоустройства подъездных дорог, устройства тротуаров, жалоба на перевозчиков, установка дорожных знаков. </w:t>
      </w:r>
    </w:p>
    <w:p w:rsidR="000D5BF9" w:rsidRP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На третьем месте блок по земельным вопросам, в том числе выделение земельных участков для индивидуального жилищного строительства, в том числе участникам специальной военной операции, земельные споры, нецелевое использование земельных участков. Удельный вес таких обращений в общем количестве поступивших обращения составил 15,1% (163 обращений).</w:t>
      </w:r>
    </w:p>
    <w:p w:rsidR="000D5BF9" w:rsidRP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Число обращений блока «Строительство и архитектура», в том числе по вопросам, касающихся согласования и получения разрешительных документов на капитальное строительство, соблюдения градостроительных норм при строительстве, внесение изменений в генеральный план, жалобы на застройщиков. Удельный вес таких обращений в общем количестве поступивших обращения составил 8,7% (103 обращений).</w:t>
      </w:r>
    </w:p>
    <w:p w:rsidR="000D5BF9" w:rsidRDefault="000D5BF9" w:rsidP="000D5BF9">
      <w:pPr>
        <w:tabs>
          <w:tab w:val="right" w:pos="1134"/>
        </w:tabs>
        <w:spacing w:after="0" w:line="240" w:lineRule="auto"/>
        <w:ind w:firstLine="709"/>
        <w:jc w:val="both"/>
        <w:rPr>
          <w:rFonts w:ascii="Times New Roman" w:eastAsia="Times New Roman" w:hAnsi="Times New Roman"/>
          <w:color w:val="000000" w:themeColor="text1"/>
          <w:sz w:val="28"/>
          <w:szCs w:val="28"/>
          <w:lang w:eastAsia="ru-RU"/>
        </w:rPr>
      </w:pPr>
      <w:r w:rsidRPr="000D5BF9">
        <w:rPr>
          <w:rFonts w:ascii="Times New Roman" w:eastAsia="Times New Roman" w:hAnsi="Times New Roman"/>
          <w:color w:val="000000" w:themeColor="text1"/>
          <w:sz w:val="28"/>
          <w:szCs w:val="28"/>
          <w:lang w:eastAsia="ru-RU"/>
        </w:rPr>
        <w:t>Число обращений блока «Социальное обеспечение» - 6,6% (79 обращений). Это обращения, с просьбами об оказании финансовой помощи семьям, находящимся в трудной жизненной ситуации, а также социальная поддержка и социальная помощь семьям участников специальной военной операции.</w:t>
      </w:r>
    </w:p>
    <w:p w:rsidR="000D5BF9" w:rsidRDefault="00F46FE8" w:rsidP="000D5BF9">
      <w:pPr>
        <w:tabs>
          <w:tab w:val="right" w:pos="1134"/>
        </w:tabs>
        <w:spacing w:after="0" w:line="240" w:lineRule="auto"/>
        <w:ind w:firstLine="709"/>
        <w:jc w:val="both"/>
        <w:rPr>
          <w:rStyle w:val="FontStyle21"/>
          <w:rFonts w:eastAsia="Arial Unicode MS"/>
          <w:sz w:val="28"/>
          <w:szCs w:val="28"/>
          <w:lang w:eastAsia="ar-SA"/>
        </w:rPr>
      </w:pPr>
      <w:r w:rsidRPr="00F46FE8">
        <w:rPr>
          <w:rStyle w:val="FontStyle21"/>
          <w:rFonts w:eastAsia="Arial Unicode MS"/>
          <w:sz w:val="28"/>
          <w:szCs w:val="28"/>
          <w:lang w:eastAsia="ar-SA"/>
        </w:rPr>
        <w:t xml:space="preserve">Администрацией города проводится работа по взаимодействию с общественностью и средствами массовой информации. </w:t>
      </w:r>
    </w:p>
    <w:p w:rsidR="008E2D32" w:rsidRDefault="00D971D5" w:rsidP="000D5BF9">
      <w:pPr>
        <w:tabs>
          <w:tab w:val="right" w:pos="1134"/>
        </w:tabs>
        <w:spacing w:after="0" w:line="240" w:lineRule="auto"/>
        <w:ind w:firstLine="709"/>
        <w:jc w:val="both"/>
        <w:rPr>
          <w:rFonts w:ascii="Times New Roman" w:hAnsi="Times New Roman"/>
          <w:sz w:val="28"/>
          <w:szCs w:val="28"/>
        </w:rPr>
      </w:pPr>
      <w:r>
        <w:rPr>
          <w:rFonts w:ascii="Times New Roman" w:hAnsi="Times New Roman"/>
          <w:sz w:val="28"/>
          <w:szCs w:val="28"/>
        </w:rPr>
        <w:t>Администрация использует любые возможные каналы коммуникаций для общения с населением.</w:t>
      </w:r>
    </w:p>
    <w:p w:rsidR="000D5BF9" w:rsidRDefault="000D5BF9" w:rsidP="000D5BF9">
      <w:pPr>
        <w:tabs>
          <w:tab w:val="right" w:pos="1134"/>
        </w:tabs>
        <w:spacing w:after="0" w:line="240" w:lineRule="auto"/>
        <w:ind w:firstLine="709"/>
        <w:jc w:val="both"/>
        <w:rPr>
          <w:rFonts w:ascii="Times New Roman" w:hAnsi="Times New Roman"/>
          <w:sz w:val="28"/>
          <w:szCs w:val="28"/>
        </w:rPr>
      </w:pPr>
      <w:r w:rsidRPr="000D5BF9">
        <w:rPr>
          <w:rFonts w:ascii="Times New Roman" w:hAnsi="Times New Roman"/>
          <w:sz w:val="28"/>
          <w:szCs w:val="28"/>
        </w:rPr>
        <w:t xml:space="preserve">На постоянной основе ведется работа с обращениями в социальных сетях. Активно работают официальные аккаунты администрации города, основной задачей которых является информирование граждан о деятельности администрации. Администрация города представлена официальными аккаунтами во всех социальных сетях: </w:t>
      </w:r>
      <w:proofErr w:type="spellStart"/>
      <w:r w:rsidRPr="000D5BF9">
        <w:rPr>
          <w:rFonts w:ascii="Times New Roman" w:hAnsi="Times New Roman"/>
          <w:sz w:val="28"/>
          <w:szCs w:val="28"/>
        </w:rPr>
        <w:t>Телеграм</w:t>
      </w:r>
      <w:proofErr w:type="spellEnd"/>
      <w:r w:rsidRPr="000D5BF9">
        <w:rPr>
          <w:rFonts w:ascii="Times New Roman" w:hAnsi="Times New Roman"/>
          <w:sz w:val="28"/>
          <w:szCs w:val="28"/>
        </w:rPr>
        <w:t xml:space="preserve"> (количество подписчиков в официальном аккаунте 5,673), </w:t>
      </w:r>
      <w:proofErr w:type="spellStart"/>
      <w:r w:rsidRPr="000D5BF9">
        <w:rPr>
          <w:rFonts w:ascii="Times New Roman" w:hAnsi="Times New Roman"/>
          <w:sz w:val="28"/>
          <w:szCs w:val="28"/>
        </w:rPr>
        <w:t>Вконтакте</w:t>
      </w:r>
      <w:proofErr w:type="spellEnd"/>
      <w:r w:rsidRPr="000D5BF9">
        <w:rPr>
          <w:rFonts w:ascii="Times New Roman" w:hAnsi="Times New Roman"/>
          <w:sz w:val="28"/>
          <w:szCs w:val="28"/>
        </w:rPr>
        <w:t xml:space="preserve"> (количество подписчиков в официальном аккаунте 5,4), Одноклассники (количество подписчиков на официальном аккаунте 2,325), пользуются большой популярностью и аккаунты главы города в </w:t>
      </w:r>
      <w:proofErr w:type="spellStart"/>
      <w:r w:rsidRPr="000D5BF9">
        <w:rPr>
          <w:rFonts w:ascii="Times New Roman" w:hAnsi="Times New Roman"/>
          <w:sz w:val="28"/>
          <w:szCs w:val="28"/>
        </w:rPr>
        <w:t>Телеграм</w:t>
      </w:r>
      <w:proofErr w:type="spellEnd"/>
      <w:r w:rsidRPr="000D5BF9">
        <w:rPr>
          <w:rFonts w:ascii="Times New Roman" w:hAnsi="Times New Roman"/>
          <w:sz w:val="28"/>
          <w:szCs w:val="28"/>
        </w:rPr>
        <w:t xml:space="preserve"> (2,338 подписчиков), Одноклас</w:t>
      </w:r>
      <w:r>
        <w:rPr>
          <w:rFonts w:ascii="Times New Roman" w:hAnsi="Times New Roman"/>
          <w:sz w:val="28"/>
          <w:szCs w:val="28"/>
        </w:rPr>
        <w:t xml:space="preserve">сники (182 подписчика), </w:t>
      </w:r>
      <w:proofErr w:type="spellStart"/>
      <w:r w:rsidRPr="000D5BF9">
        <w:rPr>
          <w:rFonts w:ascii="Times New Roman" w:hAnsi="Times New Roman"/>
          <w:sz w:val="28"/>
          <w:szCs w:val="28"/>
        </w:rPr>
        <w:t>Вконтакте</w:t>
      </w:r>
      <w:proofErr w:type="spellEnd"/>
      <w:r w:rsidRPr="000D5BF9">
        <w:rPr>
          <w:rFonts w:ascii="Times New Roman" w:hAnsi="Times New Roman"/>
          <w:sz w:val="28"/>
          <w:szCs w:val="28"/>
        </w:rPr>
        <w:t xml:space="preserve"> (939 подписчиков).</w:t>
      </w:r>
    </w:p>
    <w:p w:rsidR="008E2D32" w:rsidRDefault="00D971D5" w:rsidP="000D5BF9">
      <w:pPr>
        <w:tabs>
          <w:tab w:val="right" w:pos="1134"/>
        </w:tabs>
        <w:spacing w:after="0" w:line="240" w:lineRule="auto"/>
        <w:ind w:firstLine="709"/>
        <w:jc w:val="both"/>
        <w:rPr>
          <w:rFonts w:ascii="Times New Roman" w:hAnsi="Times New Roman"/>
          <w:sz w:val="28"/>
          <w:szCs w:val="28"/>
        </w:rPr>
      </w:pPr>
      <w:r>
        <w:rPr>
          <w:rFonts w:ascii="Times New Roman" w:hAnsi="Times New Roman"/>
          <w:sz w:val="28"/>
          <w:szCs w:val="28"/>
        </w:rPr>
        <w:t xml:space="preserve">В условиях развития современных технологий и повсеместной интеграции государственных и муниципальных органов власти в социальные интернет-сообщества, появилось новое направление деятельности – работа с обращениями граждан в интернете. Кроме уже ставших традиционными ответов на жалобы жителей в социальных сетях, ведется работа в программе «Инцидент менеджмент» -  крупнейшей </w:t>
      </w:r>
      <w:r>
        <w:rPr>
          <w:rStyle w:val="extended-textshort"/>
          <w:rFonts w:ascii="Times New Roman" w:hAnsi="Times New Roman"/>
          <w:sz w:val="28"/>
          <w:szCs w:val="28"/>
        </w:rPr>
        <w:t>автоматизированной системе мониторинга СОЦМЕДИА и СМИ в стране</w:t>
      </w:r>
      <w:r>
        <w:rPr>
          <w:rFonts w:ascii="Times New Roman" w:hAnsi="Times New Roman"/>
          <w:sz w:val="28"/>
          <w:szCs w:val="28"/>
        </w:rPr>
        <w:t xml:space="preserve"> «</w:t>
      </w:r>
      <w:proofErr w:type="spellStart"/>
      <w:r>
        <w:rPr>
          <w:rFonts w:ascii="Times New Roman" w:hAnsi="Times New Roman"/>
          <w:sz w:val="28"/>
          <w:szCs w:val="28"/>
        </w:rPr>
        <w:t>Медиалогия</w:t>
      </w:r>
      <w:proofErr w:type="spellEnd"/>
      <w:r>
        <w:rPr>
          <w:rFonts w:ascii="Times New Roman" w:hAnsi="Times New Roman"/>
          <w:sz w:val="28"/>
          <w:szCs w:val="28"/>
        </w:rPr>
        <w:t xml:space="preserve">». Основная масса вопросов, на которые приходится отвечать в социальных сетях, касается коммунального хозяйства. </w:t>
      </w:r>
    </w:p>
    <w:p w:rsidR="000D5BF9" w:rsidRPr="000D5BF9" w:rsidRDefault="000D5BF9" w:rsidP="000D5BF9">
      <w:pPr>
        <w:spacing w:after="0" w:line="240" w:lineRule="auto"/>
        <w:ind w:firstLine="709"/>
        <w:jc w:val="both"/>
        <w:rPr>
          <w:rFonts w:ascii="Times New Roman" w:hAnsi="Times New Roman"/>
          <w:sz w:val="28"/>
          <w:szCs w:val="28"/>
        </w:rPr>
      </w:pPr>
      <w:r w:rsidRPr="000D5BF9">
        <w:rPr>
          <w:rFonts w:ascii="Times New Roman" w:hAnsi="Times New Roman"/>
          <w:sz w:val="28"/>
          <w:szCs w:val="28"/>
        </w:rPr>
        <w:t>С начала 2026 года ответы даны на 1784 обращений (3646 обращений в 2025 году). Чаще всего люди обращаются с проблемой касающейся тематики «Коммунальное хозяйство».</w:t>
      </w:r>
    </w:p>
    <w:p w:rsidR="000D5BF9" w:rsidRPr="000D5BF9" w:rsidRDefault="000D5BF9" w:rsidP="000D5BF9">
      <w:pPr>
        <w:spacing w:after="0" w:line="240" w:lineRule="auto"/>
        <w:ind w:firstLine="709"/>
        <w:jc w:val="both"/>
        <w:rPr>
          <w:rFonts w:ascii="Times New Roman" w:hAnsi="Times New Roman"/>
          <w:sz w:val="28"/>
          <w:szCs w:val="28"/>
        </w:rPr>
      </w:pPr>
      <w:r w:rsidRPr="000D5BF9">
        <w:rPr>
          <w:rFonts w:ascii="Times New Roman" w:hAnsi="Times New Roman"/>
          <w:sz w:val="28"/>
          <w:szCs w:val="28"/>
        </w:rPr>
        <w:t>Также ведется работа с сообщениями и обращениями граждан с использованием подсистемы «Единый портал государственных и муниципальных услуг (функций)» платформы обратной связи «</w:t>
      </w:r>
      <w:proofErr w:type="spellStart"/>
      <w:r w:rsidRPr="000D5BF9">
        <w:rPr>
          <w:rFonts w:ascii="Times New Roman" w:hAnsi="Times New Roman"/>
          <w:sz w:val="28"/>
          <w:szCs w:val="28"/>
        </w:rPr>
        <w:t>Госуслуги</w:t>
      </w:r>
      <w:proofErr w:type="spellEnd"/>
      <w:r w:rsidRPr="000D5BF9">
        <w:rPr>
          <w:rFonts w:ascii="Times New Roman" w:hAnsi="Times New Roman"/>
          <w:sz w:val="28"/>
          <w:szCs w:val="28"/>
        </w:rPr>
        <w:t xml:space="preserve">. Решаем вместе» в Краснодарском крае. Основная масса вопросов, на которые отвечают специалисты касаются коммунального хозяйства. </w:t>
      </w:r>
    </w:p>
    <w:p w:rsidR="000D5BF9" w:rsidRDefault="000D5BF9" w:rsidP="000D5BF9">
      <w:pPr>
        <w:spacing w:after="0" w:line="240" w:lineRule="auto"/>
        <w:ind w:firstLine="709"/>
        <w:jc w:val="both"/>
        <w:rPr>
          <w:rFonts w:ascii="Times New Roman" w:hAnsi="Times New Roman"/>
          <w:sz w:val="28"/>
          <w:szCs w:val="28"/>
        </w:rPr>
      </w:pPr>
      <w:r w:rsidRPr="000D5BF9">
        <w:rPr>
          <w:rFonts w:ascii="Times New Roman" w:hAnsi="Times New Roman"/>
          <w:sz w:val="28"/>
          <w:szCs w:val="28"/>
        </w:rPr>
        <w:t xml:space="preserve">С начала 2026 года поступило всего 583 сообщений, из них 403 обращения, (414 сообщений в аналогичном периоде в 2025 году, из них 290 обращений). </w:t>
      </w:r>
    </w:p>
    <w:p w:rsidR="000D5BF9" w:rsidRDefault="000D5BF9" w:rsidP="000D5BF9">
      <w:pPr>
        <w:spacing w:after="0" w:line="240" w:lineRule="auto"/>
        <w:ind w:firstLine="709"/>
        <w:jc w:val="both"/>
        <w:rPr>
          <w:rFonts w:ascii="Times New Roman" w:hAnsi="Times New Roman"/>
          <w:sz w:val="28"/>
          <w:szCs w:val="28"/>
        </w:rPr>
      </w:pPr>
      <w:r>
        <w:rPr>
          <w:rFonts w:ascii="Times New Roman" w:hAnsi="Times New Roman"/>
          <w:sz w:val="28"/>
          <w:szCs w:val="28"/>
        </w:rPr>
        <w:t>В 2026</w:t>
      </w:r>
      <w:r w:rsidRPr="005A0103">
        <w:rPr>
          <w:rFonts w:ascii="Times New Roman" w:hAnsi="Times New Roman"/>
          <w:sz w:val="28"/>
          <w:szCs w:val="28"/>
        </w:rPr>
        <w:t xml:space="preserve"> году продолжается практика ведения внутреннего контроля за соблюдением порядка рассмотрения обращений граждан. Отделом по работе с обращениями граждан осуществляется проверка полноты ответов, достоверность предоставленной информации, наличие необходимых квалифицированных разъяснения со ссылкой на нормативные правовые акты, также проводится проверка хода рассмотрения обращения, проводится анализ рассмотренных обращений, после чего главе </w:t>
      </w:r>
      <w:r>
        <w:rPr>
          <w:rFonts w:ascii="Times New Roman" w:hAnsi="Times New Roman"/>
          <w:sz w:val="28"/>
          <w:szCs w:val="28"/>
        </w:rPr>
        <w:t xml:space="preserve">города </w:t>
      </w:r>
      <w:r w:rsidRPr="005A0103">
        <w:rPr>
          <w:rFonts w:ascii="Times New Roman" w:hAnsi="Times New Roman"/>
          <w:sz w:val="28"/>
          <w:szCs w:val="28"/>
        </w:rPr>
        <w:t>подаются сведения о нарушениях, допущенных при рассмот</w:t>
      </w:r>
      <w:bookmarkStart w:id="0" w:name="_GoBack"/>
      <w:bookmarkEnd w:id="0"/>
      <w:r w:rsidRPr="005A0103">
        <w:rPr>
          <w:rFonts w:ascii="Times New Roman" w:hAnsi="Times New Roman"/>
          <w:sz w:val="28"/>
          <w:szCs w:val="28"/>
        </w:rPr>
        <w:t>рении обр</w:t>
      </w:r>
      <w:r>
        <w:rPr>
          <w:rFonts w:ascii="Times New Roman" w:hAnsi="Times New Roman"/>
          <w:sz w:val="28"/>
          <w:szCs w:val="28"/>
        </w:rPr>
        <w:t>ащений. За прошедший период 2026</w:t>
      </w:r>
      <w:r w:rsidRPr="005A0103">
        <w:rPr>
          <w:rFonts w:ascii="Times New Roman" w:hAnsi="Times New Roman"/>
          <w:sz w:val="28"/>
          <w:szCs w:val="28"/>
        </w:rPr>
        <w:t xml:space="preserve"> года по результатам такого ведомственного контроля дисциплинарные взыскания за нарушение порядка рассмотрения обращений применены в отношении </w:t>
      </w:r>
      <w:r>
        <w:rPr>
          <w:rFonts w:ascii="Times New Roman" w:hAnsi="Times New Roman"/>
          <w:sz w:val="28"/>
          <w:szCs w:val="28"/>
        </w:rPr>
        <w:t xml:space="preserve">3 должностных лиц, в аналогичном периоде 2025 года - 5. </w:t>
      </w:r>
    </w:p>
    <w:p w:rsidR="000D5BF9" w:rsidRDefault="000D5BF9" w:rsidP="000D5BF9">
      <w:pPr>
        <w:spacing w:after="0" w:line="240" w:lineRule="auto"/>
        <w:jc w:val="center"/>
        <w:rPr>
          <w:rFonts w:ascii="Times New Roman" w:hAnsi="Times New Roman"/>
          <w:sz w:val="28"/>
          <w:szCs w:val="28"/>
        </w:rPr>
      </w:pPr>
    </w:p>
    <w:p w:rsidR="008E2D32" w:rsidRDefault="008E2D32">
      <w:pPr>
        <w:spacing w:after="0" w:line="240" w:lineRule="auto"/>
        <w:jc w:val="center"/>
        <w:rPr>
          <w:rFonts w:ascii="Times New Roman" w:hAnsi="Times New Roman"/>
          <w:sz w:val="28"/>
          <w:szCs w:val="28"/>
        </w:rPr>
      </w:pPr>
    </w:p>
    <w:p w:rsidR="008E2D32" w:rsidRDefault="008E2D32">
      <w:pPr>
        <w:pStyle w:val="Style10"/>
        <w:widowControl/>
        <w:tabs>
          <w:tab w:val="left" w:pos="883"/>
          <w:tab w:val="right" w:pos="1134"/>
        </w:tabs>
        <w:spacing w:line="240" w:lineRule="auto"/>
        <w:ind w:firstLine="0"/>
        <w:rPr>
          <w:rStyle w:val="FontStyle21"/>
          <w:rFonts w:eastAsia="Arial Unicode MS"/>
          <w:sz w:val="28"/>
          <w:szCs w:val="28"/>
        </w:rPr>
      </w:pPr>
    </w:p>
    <w:p w:rsidR="00F46FE8" w:rsidRDefault="00F46FE8">
      <w:pPr>
        <w:tabs>
          <w:tab w:val="right" w:pos="1134"/>
          <w:tab w:val="left" w:pos="1276"/>
        </w:tabs>
        <w:spacing w:after="0" w:line="240" w:lineRule="auto"/>
        <w:jc w:val="both"/>
        <w:rPr>
          <w:rFonts w:ascii="Times New Roman" w:eastAsia="Arial Unicode MS" w:hAnsi="Times New Roman"/>
          <w:sz w:val="28"/>
          <w:szCs w:val="28"/>
        </w:rPr>
      </w:pPr>
      <w:r>
        <w:rPr>
          <w:rFonts w:ascii="Times New Roman" w:eastAsia="Arial Unicode MS" w:hAnsi="Times New Roman"/>
          <w:sz w:val="28"/>
          <w:szCs w:val="28"/>
        </w:rPr>
        <w:t xml:space="preserve">Начальник отдела по </w:t>
      </w:r>
    </w:p>
    <w:p w:rsidR="008E2D32" w:rsidRPr="00D971D5" w:rsidRDefault="00F46FE8">
      <w:pPr>
        <w:tabs>
          <w:tab w:val="right" w:pos="1134"/>
          <w:tab w:val="left" w:pos="1276"/>
        </w:tabs>
        <w:spacing w:after="0" w:line="240" w:lineRule="auto"/>
        <w:jc w:val="both"/>
        <w:rPr>
          <w:rFonts w:ascii="Times New Roman" w:eastAsia="Arial Unicode MS" w:hAnsi="Times New Roman"/>
          <w:sz w:val="28"/>
          <w:szCs w:val="28"/>
        </w:rPr>
      </w:pPr>
      <w:r>
        <w:rPr>
          <w:rFonts w:ascii="Times New Roman" w:eastAsia="Arial Unicode MS" w:hAnsi="Times New Roman"/>
          <w:sz w:val="28"/>
          <w:szCs w:val="28"/>
        </w:rPr>
        <w:t>работе с обращениями граждан                                                        Ю.О. Шаталова</w:t>
      </w:r>
    </w:p>
    <w:sectPr w:rsidR="008E2D32" w:rsidRPr="00D971D5">
      <w:headerReference w:type="default" r:id="rId8"/>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D32" w:rsidRDefault="00D971D5">
      <w:pPr>
        <w:spacing w:after="0" w:line="240" w:lineRule="auto"/>
      </w:pPr>
      <w:r>
        <w:separator/>
      </w:r>
    </w:p>
  </w:endnote>
  <w:endnote w:type="continuationSeparator" w:id="0">
    <w:p w:rsidR="008E2D32" w:rsidRDefault="00D97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D32" w:rsidRDefault="00D971D5">
      <w:pPr>
        <w:spacing w:after="0" w:line="240" w:lineRule="auto"/>
      </w:pPr>
      <w:r>
        <w:separator/>
      </w:r>
    </w:p>
  </w:footnote>
  <w:footnote w:type="continuationSeparator" w:id="0">
    <w:p w:rsidR="008E2D32" w:rsidRDefault="00D97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32" w:rsidRDefault="00D971D5">
    <w:pPr>
      <w:pStyle w:val="15"/>
      <w:jc w:val="center"/>
    </w:pPr>
    <w:r>
      <w:fldChar w:fldCharType="begin"/>
    </w:r>
    <w:r>
      <w:instrText>PAGE \* MERGEFORMAT</w:instrText>
    </w:r>
    <w:r>
      <w:fldChar w:fldCharType="separate"/>
    </w:r>
    <w:r w:rsidR="000D5BF9">
      <w:rPr>
        <w:noProof/>
      </w:rPr>
      <w:t>3</w:t>
    </w:r>
    <w:r>
      <w:fldChar w:fldCharType="end"/>
    </w:r>
  </w:p>
  <w:p w:rsidR="008E2D32" w:rsidRDefault="008E2D32">
    <w:pPr>
      <w:pStyle w:val="1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D695E"/>
    <w:multiLevelType w:val="hybridMultilevel"/>
    <w:tmpl w:val="F3EE86F2"/>
    <w:lvl w:ilvl="0" w:tplc="9B64DEAE">
      <w:start w:val="1"/>
      <w:numFmt w:val="decimal"/>
      <w:lvlText w:val="%1."/>
      <w:lvlJc w:val="left"/>
      <w:pPr>
        <w:ind w:left="720" w:hanging="360"/>
      </w:pPr>
      <w:rPr>
        <w:rFonts w:hint="default"/>
      </w:rPr>
    </w:lvl>
    <w:lvl w:ilvl="1" w:tplc="3D46298C">
      <w:start w:val="1"/>
      <w:numFmt w:val="lowerLetter"/>
      <w:lvlText w:val="%2."/>
      <w:lvlJc w:val="left"/>
      <w:pPr>
        <w:ind w:left="1440" w:hanging="360"/>
      </w:pPr>
    </w:lvl>
    <w:lvl w:ilvl="2" w:tplc="5CCC5378">
      <w:start w:val="1"/>
      <w:numFmt w:val="lowerRoman"/>
      <w:lvlText w:val="%3."/>
      <w:lvlJc w:val="right"/>
      <w:pPr>
        <w:ind w:left="2160" w:hanging="180"/>
      </w:pPr>
    </w:lvl>
    <w:lvl w:ilvl="3" w:tplc="B39CDFC6">
      <w:start w:val="1"/>
      <w:numFmt w:val="decimal"/>
      <w:lvlText w:val="%4."/>
      <w:lvlJc w:val="left"/>
      <w:pPr>
        <w:ind w:left="2880" w:hanging="360"/>
      </w:pPr>
    </w:lvl>
    <w:lvl w:ilvl="4" w:tplc="4C42F5EC">
      <w:start w:val="1"/>
      <w:numFmt w:val="lowerLetter"/>
      <w:lvlText w:val="%5."/>
      <w:lvlJc w:val="left"/>
      <w:pPr>
        <w:ind w:left="3600" w:hanging="360"/>
      </w:pPr>
    </w:lvl>
    <w:lvl w:ilvl="5" w:tplc="DFAA2D48">
      <w:start w:val="1"/>
      <w:numFmt w:val="lowerRoman"/>
      <w:lvlText w:val="%6."/>
      <w:lvlJc w:val="right"/>
      <w:pPr>
        <w:ind w:left="4320" w:hanging="180"/>
      </w:pPr>
    </w:lvl>
    <w:lvl w:ilvl="6" w:tplc="780CC67C">
      <w:start w:val="1"/>
      <w:numFmt w:val="decimal"/>
      <w:lvlText w:val="%7."/>
      <w:lvlJc w:val="left"/>
      <w:pPr>
        <w:ind w:left="5040" w:hanging="360"/>
      </w:pPr>
    </w:lvl>
    <w:lvl w:ilvl="7" w:tplc="03F29682">
      <w:start w:val="1"/>
      <w:numFmt w:val="lowerLetter"/>
      <w:lvlText w:val="%8."/>
      <w:lvlJc w:val="left"/>
      <w:pPr>
        <w:ind w:left="5760" w:hanging="360"/>
      </w:pPr>
    </w:lvl>
    <w:lvl w:ilvl="8" w:tplc="80A6F8E2">
      <w:start w:val="1"/>
      <w:numFmt w:val="lowerRoman"/>
      <w:lvlText w:val="%9."/>
      <w:lvlJc w:val="right"/>
      <w:pPr>
        <w:ind w:left="6480" w:hanging="180"/>
      </w:pPr>
    </w:lvl>
  </w:abstractNum>
  <w:abstractNum w:abstractNumId="1" w15:restartNumberingAfterBreak="0">
    <w:nsid w:val="571040A9"/>
    <w:multiLevelType w:val="hybridMultilevel"/>
    <w:tmpl w:val="8DD24956"/>
    <w:lvl w:ilvl="0" w:tplc="CE5AD3F0">
      <w:start w:val="4"/>
      <w:numFmt w:val="decimal"/>
      <w:lvlText w:val="%1."/>
      <w:lvlJc w:val="left"/>
      <w:pPr>
        <w:ind w:left="1392" w:hanging="360"/>
      </w:pPr>
      <w:rPr>
        <w:rFonts w:hint="default"/>
      </w:rPr>
    </w:lvl>
    <w:lvl w:ilvl="1" w:tplc="4BAE9FA4">
      <w:start w:val="1"/>
      <w:numFmt w:val="lowerLetter"/>
      <w:lvlText w:val="%2."/>
      <w:lvlJc w:val="left"/>
      <w:pPr>
        <w:ind w:left="2112" w:hanging="360"/>
      </w:pPr>
    </w:lvl>
    <w:lvl w:ilvl="2" w:tplc="DD6C32A0">
      <w:start w:val="1"/>
      <w:numFmt w:val="lowerRoman"/>
      <w:lvlText w:val="%3."/>
      <w:lvlJc w:val="right"/>
      <w:pPr>
        <w:ind w:left="2832" w:hanging="180"/>
      </w:pPr>
    </w:lvl>
    <w:lvl w:ilvl="3" w:tplc="9B74501E">
      <w:start w:val="1"/>
      <w:numFmt w:val="decimal"/>
      <w:lvlText w:val="%4."/>
      <w:lvlJc w:val="left"/>
      <w:pPr>
        <w:ind w:left="3552" w:hanging="360"/>
      </w:pPr>
    </w:lvl>
    <w:lvl w:ilvl="4" w:tplc="0B7AC1CA">
      <w:start w:val="1"/>
      <w:numFmt w:val="lowerLetter"/>
      <w:lvlText w:val="%5."/>
      <w:lvlJc w:val="left"/>
      <w:pPr>
        <w:ind w:left="4272" w:hanging="360"/>
      </w:pPr>
    </w:lvl>
    <w:lvl w:ilvl="5" w:tplc="14D825B0">
      <w:start w:val="1"/>
      <w:numFmt w:val="lowerRoman"/>
      <w:lvlText w:val="%6."/>
      <w:lvlJc w:val="right"/>
      <w:pPr>
        <w:ind w:left="4992" w:hanging="180"/>
      </w:pPr>
    </w:lvl>
    <w:lvl w:ilvl="6" w:tplc="529219D4">
      <w:start w:val="1"/>
      <w:numFmt w:val="decimal"/>
      <w:lvlText w:val="%7."/>
      <w:lvlJc w:val="left"/>
      <w:pPr>
        <w:ind w:left="5712" w:hanging="360"/>
      </w:pPr>
    </w:lvl>
    <w:lvl w:ilvl="7" w:tplc="4320807E">
      <w:start w:val="1"/>
      <w:numFmt w:val="lowerLetter"/>
      <w:lvlText w:val="%8."/>
      <w:lvlJc w:val="left"/>
      <w:pPr>
        <w:ind w:left="6432" w:hanging="360"/>
      </w:pPr>
    </w:lvl>
    <w:lvl w:ilvl="8" w:tplc="CD2CCB3C">
      <w:start w:val="1"/>
      <w:numFmt w:val="lowerRoman"/>
      <w:lvlText w:val="%9."/>
      <w:lvlJc w:val="right"/>
      <w:pPr>
        <w:ind w:left="715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D32"/>
    <w:rsid w:val="000D5BF9"/>
    <w:rsid w:val="0033047F"/>
    <w:rsid w:val="003578B1"/>
    <w:rsid w:val="005A0103"/>
    <w:rsid w:val="006859EE"/>
    <w:rsid w:val="008E2D32"/>
    <w:rsid w:val="00A76EE5"/>
    <w:rsid w:val="00AF26DA"/>
    <w:rsid w:val="00B1255C"/>
    <w:rsid w:val="00D971D5"/>
    <w:rsid w:val="00F46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6A26"/>
  <w15:docId w15:val="{31BE1C7E-9F58-4AE8-8509-875C75E8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cs="Times New Roman"/>
    </w:rPr>
  </w:style>
  <w:style w:type="paragraph" w:styleId="1">
    <w:name w:val="heading 1"/>
    <w:basedOn w:val="a"/>
    <w:next w:val="a"/>
    <w:uiPriority w:val="9"/>
    <w:qFormat/>
    <w:pPr>
      <w:keepNext/>
      <w:keepLines/>
      <w:spacing w:before="480"/>
      <w:outlineLvl w:val="0"/>
    </w:pPr>
    <w:rPr>
      <w:rFonts w:ascii="Arial" w:eastAsia="Arial" w:hAnsi="Arial" w:cs="Arial"/>
      <w:sz w:val="40"/>
      <w:szCs w:val="40"/>
    </w:rPr>
  </w:style>
  <w:style w:type="paragraph" w:styleId="2">
    <w:name w:val="heading 2"/>
    <w:basedOn w:val="a"/>
    <w:next w:val="a"/>
    <w:uiPriority w:val="9"/>
    <w:unhideWhenUsed/>
    <w:qFormat/>
    <w:pPr>
      <w:keepNext/>
      <w:keepLines/>
      <w:spacing w:before="360"/>
      <w:outlineLvl w:val="1"/>
    </w:pPr>
    <w:rPr>
      <w:rFonts w:ascii="Arial" w:eastAsia="Arial" w:hAnsi="Arial" w:cs="Arial"/>
      <w:sz w:val="34"/>
    </w:rPr>
  </w:style>
  <w:style w:type="paragraph" w:styleId="3">
    <w:name w:val="heading 3"/>
    <w:basedOn w:val="a"/>
    <w:next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uiPriority w:val="9"/>
    <w:unhideWhenUsed/>
    <w:qFormat/>
    <w:pPr>
      <w:keepNext/>
      <w:keepLines/>
      <w:spacing w:before="320"/>
      <w:outlineLvl w:val="5"/>
    </w:pPr>
    <w:rPr>
      <w:rFonts w:ascii="Arial" w:eastAsia="Arial" w:hAnsi="Arial" w:cs="Arial"/>
      <w:b/>
      <w:bCs/>
    </w:rPr>
  </w:style>
  <w:style w:type="paragraph" w:styleId="7">
    <w:name w:val="heading 7"/>
    <w:basedOn w:val="a"/>
    <w:next w:val="a"/>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uiPriority w:val="9"/>
    <w:unhideWhenUsed/>
    <w:qFormat/>
    <w:pPr>
      <w:keepNext/>
      <w:keepLines/>
      <w:spacing w:before="320"/>
      <w:outlineLvl w:val="7"/>
    </w:pPr>
    <w:rPr>
      <w:rFonts w:ascii="Arial" w:eastAsia="Arial" w:hAnsi="Arial" w:cs="Arial"/>
      <w:i/>
      <w:iCs/>
    </w:rPr>
  </w:style>
  <w:style w:type="paragraph" w:styleId="9">
    <w:name w:val="heading 9"/>
    <w:basedOn w:val="a"/>
    <w:next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uiPriority w:val="99"/>
  </w:style>
  <w:style w:type="character" w:customStyle="1" w:styleId="CaptionChar">
    <w:name w:val="Caption Char"/>
    <w:uiPriority w:val="99"/>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1"/>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FFFFF"/>
      </w:tcPr>
    </w:tblStylePr>
    <w:tblStylePr w:type="band1Horz">
      <w:tblPr/>
      <w:tcPr>
        <w:shd w:val="clear" w:color="auto" w:fill="FFFFFF"/>
      </w:tcPr>
    </w:tblStylePr>
  </w:style>
  <w:style w:type="table" w:styleId="20">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40">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50">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FFF"/>
    </w:tblPr>
    <w:tblStylePr w:type="firstRow">
      <w:rPr>
        <w:rFonts w:ascii="Arial" w:hAnsi="Arial"/>
        <w:b/>
        <w:color w:val="FFFFFF"/>
        <w:sz w:val="22"/>
      </w:rPr>
      <w:tblPr/>
      <w:tcPr>
        <w:shd w:val="clear" w:color="auto" w:fill="FFFFFF"/>
      </w:tcPr>
    </w:tblStylePr>
    <w:tblStylePr w:type="lastRow">
      <w:rPr>
        <w:rFonts w:ascii="Arial" w:hAnsi="Arial"/>
        <w:b/>
        <w:color w:val="FFFFFF"/>
        <w:sz w:val="22"/>
      </w:rPr>
      <w:tblPr/>
      <w:tcPr>
        <w:tcBorders>
          <w:top w:val="single" w:sz="4" w:space="0" w:color="FFFFFF" w:themeColor="light1"/>
        </w:tcBorders>
        <w:shd w:val="clear" w:color="auto" w:fill="FFFFFF"/>
      </w:tcPr>
    </w:tblStylePr>
    <w:tblStylePr w:type="firstCol">
      <w:rPr>
        <w:rFonts w:ascii="Arial" w:hAnsi="Arial"/>
        <w:b/>
        <w:color w:val="FFFFFF"/>
        <w:sz w:val="22"/>
      </w:rPr>
      <w:tblPr/>
      <w:tcPr>
        <w:shd w:val="clear" w:color="auto" w:fill="FFFFFF"/>
      </w:tcPr>
    </w:tblStylePr>
    <w:tblStylePr w:type="lastCol">
      <w:rPr>
        <w:rFonts w:ascii="Arial" w:hAnsi="Arial"/>
        <w:b/>
        <w:color w:val="FFFFFF"/>
        <w:sz w:val="22"/>
      </w:rPr>
      <w:tblPr/>
      <w:tcPr>
        <w:shd w:val="clear" w:color="auto" w:fill="FFFFFF"/>
      </w:tcPr>
    </w:tblStylePr>
    <w:tblStylePr w:type="band1Vert">
      <w:tblPr/>
      <w:tcPr>
        <w:shd w:val="clear" w:color="auto" w:fill="FFFFFF"/>
      </w:tcPr>
    </w:tblStylePr>
    <w:tblStylePr w:type="band1Horz">
      <w:tblPr/>
      <w:tcPr>
        <w:shd w:val="clear" w:color="auto" w:fill="FFFFFF"/>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FFFFFF"/>
      </w:tcPr>
    </w:tblStylePr>
    <w:tblStylePr w:type="band1Horz">
      <w:rPr>
        <w:rFonts w:ascii="Arial" w:hAnsi="Arial"/>
        <w:color w:val="7F7F7F" w:themeColor="text1" w:themeTint="80" w:themeShade="95"/>
        <w:sz w:val="22"/>
      </w:rPr>
      <w:tblPr/>
      <w:tcPr>
        <w:shd w:val="clear" w:color="auto" w:fill="FFFFFF"/>
      </w:tcPr>
    </w:tblStylePr>
    <w:tblStylePr w:type="band2Horz">
      <w:rPr>
        <w:rFonts w:ascii="Arial" w:hAnsi="Arial"/>
        <w:color w:val="7F7F7F" w:themeColor="text1" w:themeTint="80"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cPr>
    </w:tblStylePr>
    <w:tblStylePr w:type="band1Horz">
      <w:rPr>
        <w:rFonts w:ascii="Arial" w:hAnsi="Arial"/>
        <w:color w:val="7F7F7F" w:themeColor="text1" w:themeTint="80" w:themeShade="95"/>
        <w:sz w:val="22"/>
      </w:rPr>
      <w:tblPr/>
      <w:tcPr>
        <w:shd w:val="clear" w:color="auto" w:fill="FFFFFF"/>
      </w:tcPr>
    </w:tblStylePr>
    <w:tblStylePr w:type="band2Horz">
      <w:rPr>
        <w:rFonts w:ascii="Arial" w:hAnsi="Arial"/>
        <w:color w:val="7F7F7F" w:themeColor="text1" w:themeTint="80"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FFFF"/>
      </w:tcPr>
    </w:tblStylePr>
    <w:tblStylePr w:type="band1Horz">
      <w:tblPr/>
      <w:tcPr>
        <w:shd w:val="clear" w:color="auto" w:fill="FFFFFF"/>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FFFFF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FFF"/>
      </w:tcPr>
    </w:tblStylePr>
    <w:tblStylePr w:type="band1Horz">
      <w:rPr>
        <w:rFonts w:ascii="Arial" w:hAnsi="Arial"/>
        <w:color w:val="404040"/>
        <w:sz w:val="22"/>
      </w:rPr>
      <w:tblPr/>
      <w:tcPr>
        <w:shd w:val="clear" w:color="auto" w:fill="FFFFFF"/>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FFFFF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FFFFF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FFFFF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FFFF"/>
      </w:tcPr>
    </w:tblStylePr>
    <w:tblStylePr w:type="band2Horz">
      <w:tblPr/>
      <w:tcPr>
        <w:tcBorders>
          <w:top w:val="single" w:sz="4" w:space="0" w:color="FFFFFF" w:themeColor="light1"/>
          <w:bottom w:val="single" w:sz="4" w:space="0" w:color="FFFFFF" w:themeColor="light1"/>
        </w:tcBorders>
        <w:shd w:val="clear" w:color="auto" w:fill="FFFFFF"/>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FFFFFF"/>
      </w:tcPr>
    </w:tblStylePr>
    <w:tblStylePr w:type="band1Horz">
      <w:rPr>
        <w:rFonts w:ascii="Arial" w:hAnsi="Arial"/>
        <w:color w:val="000000" w:themeColor="text1"/>
        <w:sz w:val="22"/>
      </w:rPr>
      <w:tblPr/>
      <w:tcPr>
        <w:shd w:val="clear" w:color="auto" w:fill="FFFFFF"/>
      </w:tcPr>
    </w:tblStylePr>
    <w:tblStylePr w:type="band2Horz">
      <w:rPr>
        <w:rFonts w:ascii="Arial" w:hAnsi="Arial"/>
        <w:color w:val="000000" w:themeColor="text1"/>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FFFFF"/>
      </w:tcPr>
    </w:tblStylePr>
    <w:tblStylePr w:type="band1Horz">
      <w:rPr>
        <w:rFonts w:ascii="Arial" w:hAnsi="Arial"/>
        <w:color w:val="7F7F7F" w:themeColor="text1" w:themeTint="80" w:themeShade="95"/>
        <w:sz w:val="22"/>
      </w:rPr>
      <w:tblPr/>
      <w:tcPr>
        <w:shd w:val="clear" w:color="auto" w:fill="FFFFFF"/>
      </w:tcPr>
    </w:tblStylePr>
    <w:tblStylePr w:type="band2Horz">
      <w:rPr>
        <w:rFonts w:ascii="Arial" w:hAnsi="Arial"/>
        <w:color w:val="7F7F7F" w:themeColor="text1" w:themeTint="80" w:themeShade="95"/>
        <w:sz w:val="22"/>
      </w:rPr>
    </w:tblStyle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10">
    <w:name w:val="Заголовок 11"/>
    <w:basedOn w:val="a"/>
    <w:next w:val="a"/>
    <w:link w:val="Heading1Char"/>
    <w:uiPriority w:val="9"/>
    <w:qFormat/>
    <w:pPr>
      <w:keepNext/>
      <w:keepLines/>
      <w:spacing w:before="480"/>
      <w:outlineLvl w:val="0"/>
    </w:pPr>
    <w:rPr>
      <w:rFonts w:ascii="Arial" w:eastAsia="Arial" w:hAnsi="Arial" w:cs="Arial"/>
      <w:sz w:val="40"/>
      <w:szCs w:val="40"/>
    </w:rPr>
  </w:style>
  <w:style w:type="character" w:customStyle="1" w:styleId="Heading1Char">
    <w:name w:val="Heading 1 Char"/>
    <w:basedOn w:val="a0"/>
    <w:link w:val="110"/>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outlineLvl w:val="5"/>
    </w:pPr>
    <w:rPr>
      <w:rFonts w:ascii="Arial" w:eastAsia="Arial" w:hAnsi="Arial" w:cs="Arial"/>
      <w:b/>
      <w:bCs/>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outlineLvl w:val="7"/>
    </w:pPr>
    <w:rPr>
      <w:rFonts w:ascii="Arial" w:eastAsia="Arial" w:hAnsi="Arial" w:cs="Arial"/>
      <w:i/>
      <w:iCs/>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6">
    <w:name w:val="Title"/>
    <w:basedOn w:val="a"/>
    <w:next w:val="a"/>
    <w:link w:val="a7"/>
    <w:uiPriority w:val="10"/>
    <w:qFormat/>
    <w:pPr>
      <w:spacing w:before="300"/>
      <w:contextualSpacing/>
    </w:pPr>
    <w:rPr>
      <w:sz w:val="48"/>
      <w:szCs w:val="48"/>
    </w:rPr>
  </w:style>
  <w:style w:type="character" w:customStyle="1" w:styleId="a7">
    <w:name w:val="Заголовок Знак"/>
    <w:basedOn w:val="a0"/>
    <w:link w:val="a6"/>
    <w:uiPriority w:val="10"/>
    <w:rPr>
      <w:sz w:val="48"/>
      <w:szCs w:val="48"/>
    </w:rPr>
  </w:style>
  <w:style w:type="paragraph" w:styleId="a8">
    <w:name w:val="Subtitle"/>
    <w:basedOn w:val="a"/>
    <w:next w:val="a"/>
    <w:link w:val="a9"/>
    <w:uiPriority w:val="11"/>
    <w:qFormat/>
    <w:pPr>
      <w:spacing w:before="200"/>
    </w:pPr>
    <w:rPr>
      <w:sz w:val="24"/>
      <w:szCs w:val="24"/>
    </w:rPr>
  </w:style>
  <w:style w:type="character" w:customStyle="1" w:styleId="a9">
    <w:name w:val="Подзаголовок Знак"/>
    <w:basedOn w:val="a0"/>
    <w:link w:val="a8"/>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rPr>
      <w:b/>
      <w:bCs/>
      <w:color w:val="4F81BD" w:themeColor="accent1"/>
      <w:sz w:val="18"/>
      <w:szCs w:val="18"/>
    </w:rPr>
  </w:style>
  <w:style w:type="character" w:customStyle="1" w:styleId="11">
    <w:name w:val="Нижний колонтитул Знак1"/>
    <w:link w:val="a4"/>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auto"/>
      </w:tcPr>
    </w:tblStylePr>
    <w:tblStylePr w:type="band1Horz">
      <w:tblPr/>
      <w:tcPr>
        <w:shd w:val="clear" w:color="auto" w:fill="auto"/>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auto"/>
      </w:tcPr>
    </w:tblStylePr>
    <w:tblStylePr w:type="lastRow">
      <w:rPr>
        <w:i/>
        <w:color w:val="404040"/>
      </w:rPr>
      <w:tblPr/>
      <w:tcPr>
        <w:tcBorders>
          <w:top w:val="single" w:sz="4" w:space="0" w:color="404040"/>
          <w:left w:val="none" w:sz="4" w:space="0" w:color="000000"/>
          <w:right w:val="none" w:sz="4" w:space="0" w:color="000000"/>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auto"/>
      </w:tcPr>
    </w:tblStylePr>
    <w:tblStylePr w:type="lastRow">
      <w:rPr>
        <w:rFonts w:ascii="Arial" w:hAnsi="Arial"/>
        <w:b/>
        <w:color w:val="FFFFFF"/>
        <w:sz w:val="22"/>
      </w:rPr>
      <w:tblPr/>
      <w:tcPr>
        <w:tcBorders>
          <w:top w:val="single" w:sz="4" w:space="0" w:color="FFFFFF" w:themeColor="light1"/>
        </w:tcBorders>
        <w:shd w:val="clear" w:color="auto" w:fill="auto"/>
      </w:tcPr>
    </w:tblStylePr>
    <w:tblStylePr w:type="firstCol">
      <w:rPr>
        <w:rFonts w:ascii="Arial" w:hAnsi="Arial"/>
        <w:b/>
        <w:color w:val="FFFFFF"/>
        <w:sz w:val="22"/>
      </w:rPr>
      <w:tblPr/>
      <w:tcPr>
        <w:shd w:val="clear" w:color="auto" w:fill="auto"/>
      </w:tcPr>
    </w:tblStylePr>
    <w:tblStylePr w:type="lastCol">
      <w:rPr>
        <w:rFonts w:ascii="Arial" w:hAnsi="Arial"/>
        <w:b/>
        <w:color w:val="FFFFFF"/>
        <w:sz w:val="22"/>
      </w:rPr>
      <w:tblPr/>
      <w:tcPr>
        <w:shd w:val="clear" w:color="auto" w:fill="auto"/>
      </w:tcPr>
    </w:tblStylePr>
    <w:tblStylePr w:type="band1Vert">
      <w:tblPr/>
      <w:tcPr>
        <w:shd w:val="clear" w:color="auto" w:fill="auto"/>
      </w:tcPr>
    </w:tblStylePr>
    <w:tblStylePr w:type="band1Horz">
      <w:tblPr/>
      <w:tcPr>
        <w:shd w:val="clear" w:color="auto"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auto"/>
      </w:tcPr>
    </w:tblStylePr>
    <w:tblStylePr w:type="band1Horz">
      <w:rPr>
        <w:rFonts w:ascii="Arial" w:hAnsi="Arial"/>
        <w:color w:val="7F7F7F" w:themeColor="text1" w:themeTint="80" w:themeShade="95"/>
        <w:sz w:val="22"/>
      </w:rPr>
      <w:tblPr/>
      <w:tcPr>
        <w:shd w:val="clear" w:color="auto"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auto"/>
      </w:tcPr>
    </w:tblStylePr>
    <w:tblStylePr w:type="band1Horz">
      <w:rPr>
        <w:rFonts w:ascii="Arial" w:hAnsi="Arial"/>
        <w:color w:val="A6BFDD" w:themeColor="accent1" w:themeTint="80" w:themeShade="95"/>
        <w:sz w:val="22"/>
      </w:rPr>
      <w:tblPr/>
      <w:tcPr>
        <w:shd w:val="clear" w:color="auto"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auto"/>
      </w:tcPr>
    </w:tblStylePr>
    <w:tblStylePr w:type="band1Horz">
      <w:rPr>
        <w:rFonts w:ascii="Arial" w:hAnsi="Arial"/>
        <w:color w:val="D99695" w:themeColor="accent2" w:themeTint="97" w:themeShade="95"/>
        <w:sz w:val="22"/>
      </w:rPr>
      <w:tblPr/>
      <w:tcPr>
        <w:shd w:val="clear" w:color="auto"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auto"/>
      </w:tcPr>
    </w:tblStylePr>
    <w:tblStylePr w:type="band1Horz">
      <w:rPr>
        <w:rFonts w:ascii="Arial" w:hAnsi="Arial"/>
        <w:color w:val="9ABB59" w:themeColor="accent3" w:themeTint="FE" w:themeShade="95"/>
        <w:sz w:val="22"/>
      </w:rPr>
      <w:tblPr/>
      <w:tcPr>
        <w:shd w:val="clear" w:color="auto"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auto"/>
      </w:tcPr>
    </w:tblStylePr>
    <w:tblStylePr w:type="band1Horz">
      <w:rPr>
        <w:rFonts w:ascii="Arial" w:hAnsi="Arial"/>
        <w:color w:val="B2A1C6" w:themeColor="accent4" w:themeTint="9A" w:themeShade="95"/>
        <w:sz w:val="22"/>
      </w:rPr>
      <w:tblPr/>
      <w:tcPr>
        <w:shd w:val="clear" w:color="auto"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auto"/>
      </w:tcPr>
    </w:tblStylePr>
    <w:tblStylePr w:type="band1Horz">
      <w:rPr>
        <w:rFonts w:ascii="Arial" w:hAnsi="Arial"/>
        <w:color w:val="266779" w:themeColor="accent5" w:themeShade="95"/>
        <w:sz w:val="22"/>
      </w:rPr>
      <w:tblPr/>
      <w:tcPr>
        <w:shd w:val="clear" w:color="auto"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auto"/>
      </w:tcPr>
    </w:tblStylePr>
    <w:tblStylePr w:type="band1Horz">
      <w:rPr>
        <w:rFonts w:ascii="Arial" w:hAnsi="Arial"/>
        <w:color w:val="266779" w:themeColor="accent5" w:themeShade="95"/>
        <w:sz w:val="22"/>
      </w:rPr>
      <w:tblPr/>
      <w:tcPr>
        <w:shd w:val="clear" w:color="auto" w:fill="auto"/>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7F7F7F" w:themeColor="text1" w:themeTint="80" w:themeShade="95"/>
        <w:sz w:val="22"/>
      </w:rPr>
      <w:tblPr/>
      <w:tcPr>
        <w:shd w:val="clear" w:color="auto"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A6BFDD" w:themeColor="accent1" w:themeTint="80" w:themeShade="95"/>
        <w:sz w:val="22"/>
      </w:rPr>
      <w:tblPr/>
      <w:tcPr>
        <w:shd w:val="clear" w:color="auto"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D99695" w:themeColor="accent2" w:themeTint="97" w:themeShade="95"/>
        <w:sz w:val="22"/>
      </w:rPr>
      <w:tblPr/>
      <w:tcPr>
        <w:shd w:val="clear" w:color="auto"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9ABB59" w:themeColor="accent3" w:themeTint="FE" w:themeShade="95"/>
        <w:sz w:val="22"/>
      </w:rPr>
      <w:tblPr/>
      <w:tcPr>
        <w:shd w:val="clear" w:color="auto"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B2A1C6" w:themeColor="accent4" w:themeTint="9A" w:themeShade="95"/>
        <w:sz w:val="22"/>
      </w:rPr>
      <w:tblPr/>
      <w:tcPr>
        <w:shd w:val="clear" w:color="auto"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auto"/>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266779" w:themeColor="accent5" w:themeShade="95"/>
        <w:sz w:val="22"/>
      </w:rPr>
      <w:tblPr/>
      <w:tcPr>
        <w:shd w:val="clear" w:color="auto"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auto"/>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B15407" w:themeColor="accent6" w:themeShade="95"/>
        <w:sz w:val="22"/>
      </w:rPr>
      <w:tblPr/>
      <w:tcPr>
        <w:shd w:val="clear" w:color="auto" w:fill="auto"/>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auto"/>
      </w:tcPr>
    </w:tblStylePr>
    <w:tblStylePr w:type="band1Horz">
      <w:tblPr/>
      <w:tcPr>
        <w:shd w:val="clear" w:color="auto" w:fill="auto"/>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uto"/>
      </w:tcPr>
    </w:tblStylePr>
    <w:tblStylePr w:type="band1Horz">
      <w:rPr>
        <w:rFonts w:ascii="Arial" w:hAnsi="Arial"/>
        <w:color w:val="404040"/>
        <w:sz w:val="22"/>
      </w:rPr>
      <w:tblPr/>
      <w:tcPr>
        <w:shd w:val="clear" w:color="auto"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uto"/>
      </w:tcPr>
    </w:tblStylePr>
    <w:tblStylePr w:type="band2Horz">
      <w:tblPr/>
      <w:tcPr>
        <w:tcBorders>
          <w:top w:val="single" w:sz="4" w:space="0" w:color="FFFFFF" w:themeColor="light1"/>
          <w:bottom w:val="single" w:sz="4" w:space="0" w:color="FFFFFF" w:themeColor="light1"/>
        </w:tcBorders>
        <w:shd w:val="clear" w:color="auto"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auto"/>
      </w:tcPr>
    </w:tblStylePr>
    <w:tblStylePr w:type="band1Horz">
      <w:rPr>
        <w:rFonts w:ascii="Arial" w:hAnsi="Arial"/>
        <w:color w:val="000000" w:themeColor="text1"/>
        <w:sz w:val="22"/>
      </w:rPr>
      <w:tblPr/>
      <w:tcPr>
        <w:shd w:val="clear" w:color="auto"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auto"/>
      </w:tcPr>
    </w:tblStylePr>
    <w:tblStylePr w:type="band1Horz">
      <w:rPr>
        <w:rFonts w:ascii="Arial" w:hAnsi="Arial"/>
        <w:color w:val="2A4A71" w:themeColor="accent1" w:themeShade="95"/>
        <w:sz w:val="22"/>
      </w:rPr>
      <w:tblPr/>
      <w:tcPr>
        <w:shd w:val="clear" w:color="auto"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auto"/>
      </w:tcPr>
    </w:tblStylePr>
    <w:tblStylePr w:type="band1Horz">
      <w:rPr>
        <w:rFonts w:ascii="Arial" w:hAnsi="Arial"/>
        <w:color w:val="D99695" w:themeColor="accent2" w:themeTint="97" w:themeShade="95"/>
        <w:sz w:val="22"/>
      </w:rPr>
      <w:tblPr/>
      <w:tcPr>
        <w:shd w:val="clear" w:color="auto"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auto"/>
      </w:tcPr>
    </w:tblStylePr>
    <w:tblStylePr w:type="band1Horz">
      <w:rPr>
        <w:rFonts w:ascii="Arial" w:hAnsi="Arial"/>
        <w:color w:val="C3D69B" w:themeColor="accent3" w:themeTint="98" w:themeShade="95"/>
        <w:sz w:val="22"/>
      </w:rPr>
      <w:tblPr/>
      <w:tcPr>
        <w:shd w:val="clear" w:color="auto"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auto"/>
      </w:tcPr>
    </w:tblStylePr>
    <w:tblStylePr w:type="band1Horz">
      <w:rPr>
        <w:rFonts w:ascii="Arial" w:hAnsi="Arial"/>
        <w:color w:val="B2A1C6" w:themeColor="accent4" w:themeTint="9A" w:themeShade="95"/>
        <w:sz w:val="22"/>
      </w:rPr>
      <w:tblPr/>
      <w:tcPr>
        <w:shd w:val="clear" w:color="auto"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auto"/>
      </w:tcPr>
    </w:tblStylePr>
    <w:tblStylePr w:type="band1Horz">
      <w:rPr>
        <w:rFonts w:ascii="Arial" w:hAnsi="Arial"/>
        <w:color w:val="92CCDC" w:themeColor="accent5" w:themeTint="9A" w:themeShade="95"/>
        <w:sz w:val="22"/>
      </w:rPr>
      <w:tblPr/>
      <w:tcPr>
        <w:shd w:val="clear" w:color="auto"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auto"/>
      </w:tcPr>
    </w:tblStylePr>
    <w:tblStylePr w:type="band1Horz">
      <w:rPr>
        <w:rFonts w:ascii="Arial" w:hAnsi="Arial"/>
        <w:color w:val="FAC090" w:themeColor="accent6" w:themeTint="98" w:themeShade="95"/>
        <w:sz w:val="22"/>
      </w:rPr>
      <w:tblPr/>
      <w:tcPr>
        <w:shd w:val="clear" w:color="auto" w:fill="auto"/>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7F7F7F" w:themeColor="text1" w:themeTint="80" w:themeShade="95"/>
        <w:sz w:val="22"/>
      </w:rPr>
      <w:tblPr/>
      <w:tcPr>
        <w:shd w:val="clear" w:color="auto"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auto"/>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2A4A71" w:themeColor="accent1" w:themeShade="95"/>
        <w:sz w:val="22"/>
      </w:rPr>
      <w:tblPr/>
      <w:tcPr>
        <w:shd w:val="clear" w:color="auto"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D99695" w:themeColor="accent2" w:themeTint="97" w:themeShade="95"/>
        <w:sz w:val="22"/>
      </w:rPr>
      <w:tblPr/>
      <w:tcPr>
        <w:shd w:val="clear" w:color="auto"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C3D69B" w:themeColor="accent3" w:themeTint="98" w:themeShade="95"/>
        <w:sz w:val="22"/>
      </w:rPr>
      <w:tblPr/>
      <w:tcPr>
        <w:shd w:val="clear" w:color="auto"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B2A1C6" w:themeColor="accent4" w:themeTint="9A" w:themeShade="95"/>
        <w:sz w:val="22"/>
      </w:rPr>
      <w:tblPr/>
      <w:tcPr>
        <w:shd w:val="clear" w:color="auto"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92CCDC" w:themeColor="accent5" w:themeTint="9A" w:themeShade="95"/>
        <w:sz w:val="22"/>
      </w:rPr>
      <w:tblPr/>
      <w:tcPr>
        <w:shd w:val="clear" w:color="auto"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auto"/>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auto"/>
      </w:tcPr>
    </w:tblStylePr>
    <w:tblStylePr w:type="band1Vert">
      <w:tblPr/>
      <w:tcPr>
        <w:shd w:val="clear" w:color="auto" w:fill="auto"/>
      </w:tcPr>
    </w:tblStylePr>
    <w:tblStylePr w:type="band1Horz">
      <w:rPr>
        <w:rFonts w:ascii="Arial" w:hAnsi="Arial"/>
        <w:color w:val="FAC090" w:themeColor="accent6" w:themeTint="98" w:themeShade="95"/>
        <w:sz w:val="22"/>
      </w:rPr>
      <w:tblPr/>
      <w:tcPr>
        <w:shd w:val="clear" w:color="auto"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auto"/>
      </w:tcPr>
    </w:tblStylePr>
    <w:tblStylePr w:type="lastRow">
      <w:rPr>
        <w:rFonts w:ascii="Arial" w:hAnsi="Arial"/>
        <w:color w:val="F2F2F2"/>
        <w:sz w:val="22"/>
      </w:rPr>
      <w:tblPr/>
      <w:tcPr>
        <w:shd w:val="clear" w:color="auto" w:fill="auto"/>
      </w:tcPr>
    </w:tblStylePr>
    <w:tblStylePr w:type="firstCol">
      <w:rPr>
        <w:rFonts w:ascii="Arial" w:hAnsi="Arial"/>
        <w:color w:val="F2F2F2"/>
        <w:sz w:val="22"/>
      </w:rPr>
      <w:tblPr/>
      <w:tcPr>
        <w:shd w:val="clear" w:color="auto" w:fill="auto"/>
      </w:tcPr>
    </w:tblStylePr>
    <w:tblStylePr w:type="lastCol">
      <w:rPr>
        <w:rFonts w:ascii="Arial" w:hAnsi="Arial"/>
        <w:color w:val="F2F2F2"/>
        <w:sz w:val="22"/>
      </w:rPr>
      <w:tblPr/>
      <w:tcPr>
        <w:shd w:val="clear" w:color="auto" w:fill="auto"/>
      </w:tcPr>
    </w:tblStylePr>
    <w:tblStylePr w:type="band1Vert">
      <w:rPr>
        <w:rFonts w:ascii="Arial" w:hAnsi="Arial"/>
        <w:color w:val="404040"/>
        <w:sz w:val="22"/>
      </w:rPr>
    </w:tblStylePr>
    <w:tblStylePr w:type="band2Vert">
      <w:rPr>
        <w:rFonts w:ascii="Arial" w:hAnsi="Arial"/>
        <w:color w:val="404040"/>
        <w:sz w:val="22"/>
      </w:rPr>
      <w:tblPr/>
      <w:tcPr>
        <w:shd w:val="clear" w:color="auto" w:fill="auto"/>
      </w:tcPr>
    </w:tblStylePr>
    <w:tblStylePr w:type="band1Horz">
      <w:rPr>
        <w:rFonts w:ascii="Arial" w:hAnsi="Arial"/>
        <w:color w:val="404040"/>
        <w:sz w:val="22"/>
      </w:rPr>
    </w:tblStylePr>
    <w:tblStylePr w:type="band2Horz">
      <w:rPr>
        <w:rFonts w:ascii="Arial" w:hAnsi="Arial"/>
        <w:color w:val="404040"/>
        <w:sz w:val="22"/>
      </w:rPr>
      <w:tblPr/>
      <w:tcPr>
        <w:shd w:val="clear" w:color="auto"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uiPriority w:val="99"/>
    <w:unhideWhenUsed/>
    <w:rPr>
      <w:color w:val="0000FF" w:themeColor="hyperlink"/>
      <w:u w:val="single"/>
    </w:r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customStyle="1" w:styleId="15">
    <w:name w:val="Верхний колонтитул1"/>
    <w:basedOn w:val="a"/>
    <w:link w:val="af6"/>
    <w:uiPriority w:val="99"/>
    <w:unhideWhenUsed/>
    <w:pPr>
      <w:tabs>
        <w:tab w:val="center" w:pos="4677"/>
        <w:tab w:val="right" w:pos="9355"/>
      </w:tabs>
    </w:pPr>
  </w:style>
  <w:style w:type="character" w:customStyle="1" w:styleId="af6">
    <w:name w:val="Верхний колонтитул Знак"/>
    <w:basedOn w:val="a0"/>
    <w:link w:val="15"/>
    <w:uiPriority w:val="99"/>
    <w:rPr>
      <w:rFonts w:ascii="Calibri" w:eastAsia="Calibri" w:hAnsi="Calibri" w:cs="Times New Roman"/>
    </w:rPr>
  </w:style>
  <w:style w:type="paragraph" w:styleId="af7">
    <w:name w:val="List Paragraph"/>
    <w:basedOn w:val="a"/>
    <w:uiPriority w:val="34"/>
    <w:qFormat/>
    <w:pPr>
      <w:ind w:left="720"/>
    </w:pPr>
    <w:rPr>
      <w:lang w:eastAsia="ar-SA"/>
    </w:rPr>
  </w:style>
  <w:style w:type="character" w:customStyle="1" w:styleId="FontStyle21">
    <w:name w:val="Font Style21"/>
    <w:uiPriority w:val="99"/>
    <w:rPr>
      <w:rFonts w:ascii="Times New Roman" w:hAnsi="Times New Roman" w:cs="Times New Roman"/>
      <w:sz w:val="26"/>
      <w:szCs w:val="26"/>
    </w:rPr>
  </w:style>
  <w:style w:type="paragraph" w:customStyle="1" w:styleId="Style10">
    <w:name w:val="Style10"/>
    <w:basedOn w:val="a"/>
    <w:uiPriority w:val="99"/>
    <w:pPr>
      <w:widowControl w:val="0"/>
      <w:spacing w:after="0" w:line="322" w:lineRule="exact"/>
      <w:ind w:firstLine="1032"/>
      <w:jc w:val="both"/>
    </w:pPr>
    <w:rPr>
      <w:rFonts w:ascii="Times New Roman" w:eastAsia="Times New Roman" w:hAnsi="Times New Roman"/>
      <w:sz w:val="24"/>
      <w:szCs w:val="24"/>
      <w:lang w:eastAsia="ru-RU"/>
    </w:rPr>
  </w:style>
  <w:style w:type="character" w:customStyle="1" w:styleId="extended-textshort">
    <w:name w:val="extended-text__short"/>
    <w:basedOn w:val="a0"/>
  </w:style>
  <w:style w:type="paragraph" w:customStyle="1" w:styleId="formattext">
    <w:name w:val="formattext"/>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6">
    <w:name w:val="Нижний колонтитул1"/>
    <w:basedOn w:val="a"/>
    <w:link w:val="af8"/>
    <w:uiPriority w:val="99"/>
    <w:semiHidden/>
    <w:unhideWhenUsed/>
    <w:pPr>
      <w:tabs>
        <w:tab w:val="center" w:pos="4677"/>
        <w:tab w:val="right" w:pos="9355"/>
      </w:tabs>
      <w:spacing w:after="0" w:line="240" w:lineRule="auto"/>
    </w:pPr>
  </w:style>
  <w:style w:type="character" w:customStyle="1" w:styleId="af8">
    <w:name w:val="Нижний колонтитул Знак"/>
    <w:basedOn w:val="a0"/>
    <w:link w:val="16"/>
    <w:uiPriority w:val="99"/>
    <w:semiHidden/>
    <w:rPr>
      <w:rFonts w:ascii="Calibri" w:eastAsia="Calibri" w:hAnsi="Calibri" w:cs="Times New Roman"/>
    </w:rPr>
  </w:style>
  <w:style w:type="paragraph" w:styleId="af9">
    <w:name w:val="No Spacing"/>
    <w:uiPriority w:val="1"/>
    <w:qFormat/>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kusnecova_o</dc:creator>
  <cp:lastModifiedBy>Шаталова Юлия Олеговна</cp:lastModifiedBy>
  <cp:revision>3</cp:revision>
  <dcterms:created xsi:type="dcterms:W3CDTF">2026-07-14T12:28:00Z</dcterms:created>
  <dcterms:modified xsi:type="dcterms:W3CDTF">2026-07-23T17:03:00Z</dcterms:modified>
</cp:coreProperties>
</file>