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D32" w:rsidRDefault="008E2D32">
      <w:pPr>
        <w:spacing w:after="0" w:line="240" w:lineRule="auto"/>
        <w:jc w:val="center"/>
        <w:rPr>
          <w:rFonts w:ascii="Times New Roman" w:hAnsi="Times New Roman"/>
          <w:sz w:val="28"/>
          <w:szCs w:val="28"/>
        </w:rPr>
      </w:pPr>
    </w:p>
    <w:p w:rsidR="00F46FE8" w:rsidRDefault="00F46FE8">
      <w:pPr>
        <w:spacing w:after="0" w:line="240" w:lineRule="auto"/>
        <w:jc w:val="center"/>
        <w:rPr>
          <w:rFonts w:ascii="Times New Roman" w:hAnsi="Times New Roman"/>
          <w:sz w:val="28"/>
          <w:szCs w:val="28"/>
        </w:rPr>
      </w:pPr>
      <w:r w:rsidRPr="00F46FE8">
        <w:rPr>
          <w:rFonts w:ascii="Times New Roman" w:hAnsi="Times New Roman"/>
          <w:sz w:val="28"/>
          <w:szCs w:val="28"/>
        </w:rPr>
        <w:t xml:space="preserve">Аналитические сведения о работе с обращениями </w:t>
      </w:r>
    </w:p>
    <w:p w:rsidR="008E2D32" w:rsidRDefault="00D971D5">
      <w:pPr>
        <w:spacing w:after="0" w:line="240" w:lineRule="auto"/>
        <w:jc w:val="center"/>
        <w:rPr>
          <w:rFonts w:ascii="Times New Roman" w:hAnsi="Times New Roman"/>
          <w:sz w:val="28"/>
          <w:szCs w:val="28"/>
        </w:rPr>
      </w:pPr>
      <w:r>
        <w:rPr>
          <w:rFonts w:ascii="Times New Roman" w:hAnsi="Times New Roman"/>
          <w:sz w:val="28"/>
          <w:szCs w:val="28"/>
        </w:rPr>
        <w:t>в администрации муниципального</w:t>
      </w:r>
    </w:p>
    <w:p w:rsidR="008E2D32" w:rsidRDefault="00D971D5">
      <w:pPr>
        <w:spacing w:after="0" w:line="240" w:lineRule="auto"/>
        <w:jc w:val="center"/>
        <w:rPr>
          <w:rFonts w:ascii="Times New Roman" w:hAnsi="Times New Roman"/>
          <w:sz w:val="28"/>
          <w:szCs w:val="28"/>
        </w:rPr>
      </w:pPr>
      <w:r>
        <w:rPr>
          <w:rFonts w:ascii="Times New Roman" w:hAnsi="Times New Roman"/>
          <w:sz w:val="28"/>
          <w:szCs w:val="28"/>
        </w:rPr>
        <w:t>образования муниципальный округ город Горячий Ключ Краснодарского края за первое полугодие 2025 года</w:t>
      </w:r>
    </w:p>
    <w:p w:rsidR="008E2D32" w:rsidRDefault="008E2D32">
      <w:pPr>
        <w:spacing w:after="0" w:line="240" w:lineRule="auto"/>
        <w:jc w:val="center"/>
        <w:rPr>
          <w:rFonts w:ascii="Times New Roman" w:hAnsi="Times New Roman"/>
          <w:sz w:val="28"/>
          <w:szCs w:val="28"/>
        </w:rPr>
      </w:pPr>
    </w:p>
    <w:p w:rsidR="008E2D32" w:rsidRDefault="008E2D32" w:rsidP="005A0103">
      <w:pPr>
        <w:spacing w:after="0" w:line="240" w:lineRule="auto"/>
        <w:jc w:val="both"/>
        <w:rPr>
          <w:rFonts w:ascii="Times New Roman" w:hAnsi="Times New Roman"/>
          <w:sz w:val="28"/>
          <w:szCs w:val="28"/>
        </w:rPr>
      </w:pPr>
    </w:p>
    <w:p w:rsidR="008E2D32" w:rsidRDefault="00D971D5">
      <w:pPr>
        <w:pStyle w:val="af9"/>
        <w:ind w:firstLine="680"/>
        <w:jc w:val="both"/>
        <w:rPr>
          <w:color w:val="000000"/>
          <w:sz w:val="28"/>
          <w:szCs w:val="28"/>
        </w:rPr>
      </w:pPr>
      <w:r>
        <w:rPr>
          <w:sz w:val="28"/>
          <w:szCs w:val="28"/>
        </w:rPr>
        <w:t>Работа с обращениями граждан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Законом Краснодарского края от 28.06.2007 № 1270-КЗ «О дополнительных гарантиях реализации права граждан на обращение в Краснодарском крае»</w:t>
      </w:r>
      <w:r>
        <w:rPr>
          <w:sz w:val="28"/>
        </w:rPr>
        <w:t xml:space="preserve">, Законом Краснодарского края от 23.06.2010 № 2000-КЗ «Об обеспечении доступа к информации о деятельности государственных органов Краснодарского края, органов местного самоуправления в Краснодарском крае», </w:t>
      </w:r>
      <w:r>
        <w:rPr>
          <w:sz w:val="28"/>
          <w:szCs w:val="28"/>
        </w:rPr>
        <w:t>Порядком работы с обращениями граждан в администрации муниципального образования город Горячий Ключ (утвержден постановлением администрации муниципального образования муниципальный округ город Горячий Ключ Краснодарского края от 08.07.2025 №1314</w:t>
      </w:r>
      <w:r>
        <w:rPr>
          <w:color w:val="000000"/>
          <w:sz w:val="28"/>
          <w:szCs w:val="28"/>
        </w:rPr>
        <w:t>), методическими рекомендациями Администрации Президента Российской Федерации.</w:t>
      </w:r>
    </w:p>
    <w:p w:rsidR="008E2D32" w:rsidRDefault="00D971D5">
      <w:pPr>
        <w:pStyle w:val="af9"/>
        <w:ind w:firstLine="709"/>
        <w:jc w:val="both"/>
      </w:pPr>
      <w:r>
        <w:rPr>
          <w:sz w:val="28"/>
          <w:szCs w:val="28"/>
        </w:rPr>
        <w:t xml:space="preserve"> В администрацию муниципального образования муниципальный округ город Горячий Ключ Краснодарского края (далее – Администрация) за 1 полугодие 2025 года поступило всего 1355 обращений, в аналогичный период 2024 года 1101 обращений, что на </w:t>
      </w:r>
      <w:r w:rsidR="00AF26DA" w:rsidRPr="00AF26DA">
        <w:rPr>
          <w:sz w:val="28"/>
          <w:szCs w:val="28"/>
        </w:rPr>
        <w:t>23</w:t>
      </w:r>
      <w:r w:rsidRPr="00AF26DA">
        <w:rPr>
          <w:sz w:val="28"/>
          <w:szCs w:val="28"/>
        </w:rPr>
        <w:t>%</w:t>
      </w:r>
      <w:r w:rsidR="00AF26DA">
        <w:rPr>
          <w:sz w:val="28"/>
          <w:szCs w:val="28"/>
        </w:rPr>
        <w:t xml:space="preserve"> больше</w:t>
      </w:r>
      <w:r>
        <w:rPr>
          <w:sz w:val="28"/>
          <w:szCs w:val="28"/>
        </w:rPr>
        <w:t>, из них:</w:t>
      </w:r>
    </w:p>
    <w:p w:rsidR="008E2D32" w:rsidRDefault="00D971D5">
      <w:pPr>
        <w:pStyle w:val="af9"/>
        <w:ind w:firstLine="709"/>
        <w:jc w:val="both"/>
      </w:pPr>
      <w:r>
        <w:rPr>
          <w:sz w:val="28"/>
          <w:szCs w:val="28"/>
        </w:rPr>
        <w:t xml:space="preserve">1080 письменных обращений, что на </w:t>
      </w:r>
      <w:r w:rsidR="00AF26DA">
        <w:rPr>
          <w:sz w:val="28"/>
          <w:szCs w:val="28"/>
        </w:rPr>
        <w:t xml:space="preserve">29,6% больше </w:t>
      </w:r>
      <w:r>
        <w:rPr>
          <w:sz w:val="28"/>
          <w:szCs w:val="28"/>
        </w:rPr>
        <w:t>в сравнении с аналогичным периодом 2024 года (833 письменных обращений);</w:t>
      </w:r>
    </w:p>
    <w:p w:rsidR="008E2D32" w:rsidRDefault="00D971D5">
      <w:pPr>
        <w:pStyle w:val="af9"/>
        <w:ind w:firstLine="709"/>
        <w:jc w:val="both"/>
      </w:pPr>
      <w:r>
        <w:rPr>
          <w:sz w:val="28"/>
          <w:szCs w:val="28"/>
        </w:rPr>
        <w:t xml:space="preserve">в том числе из администрации Краснодарского края – 156 обращений, что на </w:t>
      </w:r>
      <w:r w:rsidR="00AF26DA">
        <w:rPr>
          <w:sz w:val="28"/>
          <w:szCs w:val="28"/>
        </w:rPr>
        <w:t>19% больше</w:t>
      </w:r>
      <w:r>
        <w:rPr>
          <w:sz w:val="28"/>
          <w:szCs w:val="28"/>
        </w:rPr>
        <w:t xml:space="preserve">, чем в 2024 году (186 обращений). </w:t>
      </w:r>
    </w:p>
    <w:p w:rsidR="008E2D32" w:rsidRDefault="00D971D5">
      <w:pPr>
        <w:pStyle w:val="af9"/>
        <w:ind w:firstLine="709"/>
        <w:jc w:val="both"/>
      </w:pPr>
      <w:r>
        <w:rPr>
          <w:sz w:val="28"/>
          <w:szCs w:val="28"/>
        </w:rPr>
        <w:t>Доля обращений, поступивших из Управления Президента Российской Федерации по работе с обращениями граждан и органи</w:t>
      </w:r>
      <w:r w:rsidR="00B1255C">
        <w:rPr>
          <w:sz w:val="28"/>
          <w:szCs w:val="28"/>
        </w:rPr>
        <w:t>заций, уменьшилась и составила 33,8</w:t>
      </w:r>
      <w:r w:rsidR="00B1255C" w:rsidRPr="00B1255C">
        <w:rPr>
          <w:sz w:val="28"/>
          <w:szCs w:val="28"/>
        </w:rPr>
        <w:t>%</w:t>
      </w:r>
      <w:r>
        <w:rPr>
          <w:sz w:val="28"/>
          <w:szCs w:val="28"/>
        </w:rPr>
        <w:t xml:space="preserve"> (4 обращения) от общего количества обращений (2024 год – 31 обращение).</w:t>
      </w:r>
    </w:p>
    <w:p w:rsidR="008E2D32" w:rsidRDefault="00D971D5">
      <w:pPr>
        <w:pStyle w:val="af9"/>
        <w:ind w:firstLine="709"/>
        <w:jc w:val="both"/>
      </w:pPr>
      <w:r>
        <w:rPr>
          <w:sz w:val="28"/>
          <w:szCs w:val="28"/>
        </w:rPr>
        <w:t xml:space="preserve">Для удобства граждан на официальном сайте </w:t>
      </w:r>
      <w:r w:rsidR="005A0103">
        <w:rPr>
          <w:sz w:val="28"/>
          <w:szCs w:val="28"/>
        </w:rPr>
        <w:t>Администрации</w:t>
      </w:r>
      <w:r>
        <w:rPr>
          <w:sz w:val="28"/>
          <w:szCs w:val="28"/>
        </w:rPr>
        <w:t xml:space="preserve"> работает «Виртуальная приемная», куда в 1 полугодии </w:t>
      </w:r>
      <w:r w:rsidR="005A0103">
        <w:rPr>
          <w:sz w:val="28"/>
          <w:szCs w:val="28"/>
        </w:rPr>
        <w:t>2025 года поступило 82 обращения</w:t>
      </w:r>
      <w:r>
        <w:rPr>
          <w:sz w:val="28"/>
          <w:szCs w:val="28"/>
        </w:rPr>
        <w:t xml:space="preserve">, что на </w:t>
      </w:r>
      <w:r w:rsidR="00B1255C">
        <w:rPr>
          <w:sz w:val="28"/>
          <w:szCs w:val="28"/>
        </w:rPr>
        <w:t>2,4%</w:t>
      </w:r>
      <w:r>
        <w:rPr>
          <w:sz w:val="28"/>
          <w:szCs w:val="28"/>
        </w:rPr>
        <w:t xml:space="preserve"> меньше, чем в аналогичном периоде (84 обращения).</w:t>
      </w:r>
    </w:p>
    <w:p w:rsidR="008E2D32" w:rsidRDefault="00D971D5">
      <w:pPr>
        <w:pStyle w:val="af9"/>
        <w:ind w:firstLine="709"/>
        <w:jc w:val="both"/>
      </w:pPr>
      <w:r>
        <w:rPr>
          <w:sz w:val="28"/>
          <w:szCs w:val="28"/>
        </w:rPr>
        <w:t xml:space="preserve">Большое внимание уделяется сообщениям, поступившим по телефону «горячей линии». Суть обращений оперативно передается исполнителям для разрешения проблем в максимально сжатые сроки. За прошедший период 2025 года по телефону «горячей линии» муниципального образования муниципальный округ город Горячий Ключ принято 241 сообщение, что больше в сравнении с аналогичным периодом прошлого года на </w:t>
      </w:r>
      <w:r w:rsidR="00B1255C">
        <w:rPr>
          <w:sz w:val="28"/>
          <w:szCs w:val="28"/>
        </w:rPr>
        <w:t>10,0%</w:t>
      </w:r>
      <w:r>
        <w:rPr>
          <w:sz w:val="28"/>
          <w:szCs w:val="28"/>
        </w:rPr>
        <w:t xml:space="preserve"> (219 сообщений).</w:t>
      </w:r>
    </w:p>
    <w:p w:rsidR="008E2D32" w:rsidRDefault="00D971D5">
      <w:pPr>
        <w:pStyle w:val="af9"/>
        <w:ind w:firstLine="709"/>
        <w:jc w:val="both"/>
        <w:rPr>
          <w:sz w:val="28"/>
          <w:szCs w:val="28"/>
        </w:rPr>
      </w:pPr>
      <w:r>
        <w:rPr>
          <w:sz w:val="28"/>
          <w:szCs w:val="28"/>
        </w:rPr>
        <w:t xml:space="preserve">Количество сообщений, поступивших в центр обработки сообщений администрации Краснодарского края составляет 34 сообщения, что в сравнении с 2024 годом (49 сообщений) уменьшилось на </w:t>
      </w:r>
      <w:r w:rsidR="00B1255C">
        <w:rPr>
          <w:sz w:val="28"/>
          <w:szCs w:val="28"/>
        </w:rPr>
        <w:t>44,1%</w:t>
      </w:r>
      <w:r>
        <w:rPr>
          <w:sz w:val="28"/>
          <w:szCs w:val="28"/>
        </w:rPr>
        <w:t>.</w:t>
      </w:r>
    </w:p>
    <w:p w:rsidR="00F46FE8" w:rsidRPr="00F46FE8" w:rsidRDefault="00F46FE8" w:rsidP="00F46FE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680"/>
        <w:jc w:val="both"/>
        <w:rPr>
          <w:rFonts w:ascii="Times New Roman" w:eastAsia="Times New Roman" w:hAnsi="Times New Roman"/>
          <w:sz w:val="28"/>
          <w:szCs w:val="28"/>
        </w:rPr>
      </w:pPr>
      <w:r w:rsidRPr="00F46FE8">
        <w:rPr>
          <w:rFonts w:ascii="Times New Roman" w:eastAsia="Times New Roman" w:hAnsi="Times New Roman"/>
          <w:sz w:val="28"/>
          <w:szCs w:val="28"/>
        </w:rPr>
        <w:lastRenderedPageBreak/>
        <w:t xml:space="preserve">Личный прием граждан организован и осуществляется в соответствии со ст. 13 Федерального закона от 2 мая 2006 года № 59-ФЗ «О порядке рассмотрения обращений граждан в Российской Федерации». </w:t>
      </w:r>
    </w:p>
    <w:p w:rsidR="00F46FE8" w:rsidRPr="00F46FE8" w:rsidRDefault="00F46FE8" w:rsidP="00F46FE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680"/>
        <w:jc w:val="both"/>
        <w:rPr>
          <w:rFonts w:ascii="Times New Roman" w:eastAsia="Times New Roman" w:hAnsi="Times New Roman"/>
          <w:sz w:val="28"/>
          <w:szCs w:val="28"/>
        </w:rPr>
      </w:pPr>
      <w:r w:rsidRPr="00F46FE8">
        <w:rPr>
          <w:rFonts w:ascii="Times New Roman" w:eastAsia="Times New Roman" w:hAnsi="Times New Roman"/>
          <w:sz w:val="28"/>
          <w:szCs w:val="28"/>
        </w:rPr>
        <w:t xml:space="preserve">Главой </w:t>
      </w:r>
      <w:r>
        <w:rPr>
          <w:rFonts w:ascii="Times New Roman" w:eastAsia="Times New Roman" w:hAnsi="Times New Roman"/>
          <w:sz w:val="28"/>
          <w:szCs w:val="28"/>
        </w:rPr>
        <w:t>города</w:t>
      </w:r>
      <w:r w:rsidRPr="00F46FE8">
        <w:rPr>
          <w:rFonts w:ascii="Times New Roman" w:eastAsia="Times New Roman" w:hAnsi="Times New Roman"/>
          <w:sz w:val="28"/>
          <w:szCs w:val="28"/>
        </w:rPr>
        <w:t xml:space="preserve"> и его заместителями ведется личный, в том числе выездной прием граждан на территориях сельских населе</w:t>
      </w:r>
      <w:r>
        <w:rPr>
          <w:rFonts w:ascii="Times New Roman" w:eastAsia="Times New Roman" w:hAnsi="Times New Roman"/>
          <w:sz w:val="28"/>
          <w:szCs w:val="28"/>
        </w:rPr>
        <w:t xml:space="preserve">нных пунктов. </w:t>
      </w:r>
    </w:p>
    <w:p w:rsidR="00F46FE8" w:rsidRDefault="00F46FE8" w:rsidP="00F46FE8">
      <w:pPr>
        <w:pStyle w:val="af9"/>
        <w:ind w:firstLine="709"/>
        <w:jc w:val="both"/>
      </w:pPr>
      <w:r>
        <w:rPr>
          <w:bCs/>
          <w:sz w:val="28"/>
          <w:szCs w:val="28"/>
        </w:rPr>
        <w:t>В 1-м полугодии 2025 года руководством Администрации на личных приемах принято 128 человек (в 2024 году 163 человека), в том числе главой города – 21 человек (в 2024 году 105 человек).</w:t>
      </w:r>
    </w:p>
    <w:p w:rsidR="008E2D32" w:rsidRPr="00F46FE8" w:rsidRDefault="00D971D5" w:rsidP="00F46FE8">
      <w:pPr>
        <w:pStyle w:val="af9"/>
        <w:ind w:firstLine="709"/>
        <w:jc w:val="both"/>
      </w:pPr>
      <w:r>
        <w:rPr>
          <w:color w:val="000000" w:themeColor="text1"/>
          <w:sz w:val="28"/>
          <w:szCs w:val="28"/>
        </w:rPr>
        <w:t xml:space="preserve">Анализ тематики письменных обращений показал, что жителей муниципального образования город Горячий Ключ в 2025 году в основном волновали вопросы коммунального хозяйства. </w:t>
      </w:r>
      <w:r>
        <w:rPr>
          <w:sz w:val="28"/>
          <w:szCs w:val="28"/>
        </w:rPr>
        <w:t>Удельный</w:t>
      </w:r>
      <w:r>
        <w:rPr>
          <w:color w:val="000000" w:themeColor="text1"/>
          <w:sz w:val="28"/>
          <w:szCs w:val="28"/>
        </w:rPr>
        <w:t xml:space="preserve"> вес таких обращений в общем количестве поступивших обращений составил </w:t>
      </w:r>
      <w:r w:rsidR="00B1255C">
        <w:rPr>
          <w:sz w:val="28"/>
          <w:szCs w:val="28"/>
        </w:rPr>
        <w:t>83,6%</w:t>
      </w:r>
      <w:r>
        <w:rPr>
          <w:b/>
          <w:color w:val="000000" w:themeColor="text1"/>
          <w:sz w:val="28"/>
          <w:szCs w:val="28"/>
        </w:rPr>
        <w:t xml:space="preserve"> </w:t>
      </w:r>
      <w:r>
        <w:rPr>
          <w:color w:val="000000" w:themeColor="text1"/>
          <w:sz w:val="28"/>
          <w:szCs w:val="28"/>
        </w:rPr>
        <w:t>(518 обращений).</w:t>
      </w:r>
    </w:p>
    <w:p w:rsidR="008E2D32" w:rsidRDefault="00D971D5">
      <w:pPr>
        <w:pStyle w:val="af9"/>
        <w:ind w:firstLine="709"/>
        <w:jc w:val="both"/>
        <w:rPr>
          <w:color w:val="000000"/>
          <w:sz w:val="28"/>
        </w:rPr>
      </w:pPr>
      <w:r>
        <w:rPr>
          <w:color w:val="000000" w:themeColor="text1"/>
          <w:sz w:val="28"/>
          <w:szCs w:val="28"/>
        </w:rPr>
        <w:t>Сюда входят вопросы по уборке мусора (49), расчистка и благоустройство ливневой канализации (71), перебои и качество водоснабжения (10), отключение электроэнергии (10), перебои с канализацией (19), уличное освещение (168), комплексное благоустройство (199).</w:t>
      </w:r>
    </w:p>
    <w:p w:rsidR="008E2D32" w:rsidRDefault="00D971D5">
      <w:pPr>
        <w:pStyle w:val="af9"/>
        <w:ind w:firstLine="709"/>
        <w:jc w:val="both"/>
        <w:rPr>
          <w:color w:val="000000"/>
          <w:sz w:val="28"/>
        </w:rPr>
      </w:pPr>
      <w:r>
        <w:rPr>
          <w:color w:val="000000" w:themeColor="text1"/>
          <w:sz w:val="28"/>
          <w:szCs w:val="28"/>
        </w:rPr>
        <w:t xml:space="preserve">На втором месте блок «Транспорт и дорожное хозяйство» - </w:t>
      </w:r>
      <w:r w:rsidR="00B1255C">
        <w:rPr>
          <w:color w:val="000000" w:themeColor="text1"/>
          <w:sz w:val="28"/>
          <w:szCs w:val="28"/>
        </w:rPr>
        <w:t>11,6%</w:t>
      </w:r>
      <w:r>
        <w:rPr>
          <w:color w:val="000000" w:themeColor="text1"/>
          <w:sz w:val="28"/>
          <w:szCs w:val="28"/>
        </w:rPr>
        <w:t xml:space="preserve"> (239 обращений). Это, прежде всего, вопросы благоустройства подъездных дорог, устройства тротуаров, жалоба на перевозчиков, установка дорожных знаков. </w:t>
      </w:r>
    </w:p>
    <w:p w:rsidR="008E2D32" w:rsidRDefault="00D971D5">
      <w:pPr>
        <w:pStyle w:val="af9"/>
        <w:ind w:firstLine="709"/>
        <w:jc w:val="both"/>
        <w:rPr>
          <w:color w:val="000000"/>
          <w:sz w:val="28"/>
        </w:rPr>
      </w:pPr>
      <w:r>
        <w:rPr>
          <w:color w:val="000000" w:themeColor="text1"/>
          <w:sz w:val="28"/>
          <w:szCs w:val="28"/>
        </w:rPr>
        <w:t>На третьем месте блок по земельным вопросам,</w:t>
      </w:r>
      <w:r>
        <w:rPr>
          <w:rFonts w:eastAsia="Andale Sans UI"/>
          <w:color w:val="000000" w:themeColor="text1"/>
          <w:sz w:val="28"/>
          <w:szCs w:val="28"/>
        </w:rPr>
        <w:t xml:space="preserve"> в том числе выделение земельных участков для индивидуального жилищного строительства, в том числе участникам специальной военной операции (73), земельные споры (129), нецелевое использование земельных участков (12)</w:t>
      </w:r>
      <w:r>
        <w:rPr>
          <w:color w:val="000000" w:themeColor="text1"/>
          <w:sz w:val="28"/>
          <w:szCs w:val="28"/>
        </w:rPr>
        <w:t xml:space="preserve">. Удельный вес таких обращений в общем количестве поступивших обращения составил </w:t>
      </w:r>
      <w:r w:rsidR="00B1255C" w:rsidRPr="00B1255C">
        <w:rPr>
          <w:color w:val="000000" w:themeColor="text1"/>
          <w:sz w:val="28"/>
          <w:szCs w:val="28"/>
        </w:rPr>
        <w:t>14,1</w:t>
      </w:r>
      <w:r w:rsidRPr="00B1255C">
        <w:rPr>
          <w:color w:val="000000" w:themeColor="text1"/>
          <w:sz w:val="28"/>
          <w:szCs w:val="28"/>
        </w:rPr>
        <w:t>%</w:t>
      </w:r>
      <w:r>
        <w:rPr>
          <w:color w:val="000000" w:themeColor="text1"/>
          <w:sz w:val="28"/>
          <w:szCs w:val="28"/>
        </w:rPr>
        <w:t xml:space="preserve"> (214</w:t>
      </w:r>
      <w:r>
        <w:rPr>
          <w:b/>
          <w:color w:val="000000" w:themeColor="text1"/>
          <w:sz w:val="28"/>
          <w:szCs w:val="28"/>
        </w:rPr>
        <w:t xml:space="preserve"> </w:t>
      </w:r>
      <w:r>
        <w:rPr>
          <w:color w:val="000000" w:themeColor="text1"/>
          <w:sz w:val="28"/>
          <w:szCs w:val="28"/>
        </w:rPr>
        <w:t>обращений).</w:t>
      </w:r>
    </w:p>
    <w:p w:rsidR="008E2D32" w:rsidRDefault="00D971D5">
      <w:pPr>
        <w:pStyle w:val="af9"/>
        <w:ind w:firstLine="709"/>
        <w:jc w:val="both"/>
        <w:rPr>
          <w:color w:val="000000"/>
        </w:rPr>
      </w:pPr>
      <w:r>
        <w:rPr>
          <w:color w:val="000000" w:themeColor="text1"/>
          <w:sz w:val="28"/>
          <w:szCs w:val="28"/>
        </w:rPr>
        <w:t xml:space="preserve">Число обращений блока «Строительство и архитектура», </w:t>
      </w:r>
      <w:r>
        <w:rPr>
          <w:rFonts w:eastAsia="Andale Sans UI"/>
          <w:color w:val="000000" w:themeColor="text1"/>
          <w:sz w:val="28"/>
          <w:szCs w:val="28"/>
        </w:rPr>
        <w:t xml:space="preserve">в том числе по вопросам, касающихся согласования и получения разрешительных документов на капитальное строительство, соблюдения градостроительных норм при строительстве, жалобы на застройщиков. </w:t>
      </w:r>
      <w:r>
        <w:rPr>
          <w:color w:val="000000" w:themeColor="text1"/>
          <w:sz w:val="28"/>
          <w:szCs w:val="28"/>
        </w:rPr>
        <w:t xml:space="preserve">Удельный вес таких обращений в общем количестве поступивших обращения составил </w:t>
      </w:r>
      <w:r w:rsidR="00B1255C">
        <w:rPr>
          <w:color w:val="000000" w:themeColor="text1"/>
          <w:sz w:val="28"/>
          <w:szCs w:val="28"/>
        </w:rPr>
        <w:t>25,2%</w:t>
      </w:r>
      <w:r>
        <w:rPr>
          <w:color w:val="000000" w:themeColor="text1"/>
          <w:sz w:val="28"/>
          <w:szCs w:val="28"/>
        </w:rPr>
        <w:t xml:space="preserve"> (103 обращений).</w:t>
      </w:r>
    </w:p>
    <w:p w:rsidR="008E2D32" w:rsidRDefault="00D971D5">
      <w:pPr>
        <w:pStyle w:val="af9"/>
        <w:ind w:firstLine="709"/>
        <w:jc w:val="both"/>
        <w:rPr>
          <w:color w:val="000000"/>
        </w:rPr>
      </w:pPr>
      <w:r>
        <w:rPr>
          <w:color w:val="000000" w:themeColor="text1"/>
          <w:sz w:val="28"/>
          <w:szCs w:val="28"/>
        </w:rPr>
        <w:t xml:space="preserve">Число обращений блока «Социальное обеспечение» - </w:t>
      </w:r>
      <w:r w:rsidR="00B1255C" w:rsidRPr="00B1255C">
        <w:rPr>
          <w:color w:val="000000" w:themeColor="text1"/>
          <w:sz w:val="28"/>
          <w:szCs w:val="28"/>
        </w:rPr>
        <w:t>18,5</w:t>
      </w:r>
      <w:r w:rsidRPr="00B1255C">
        <w:rPr>
          <w:color w:val="000000" w:themeColor="text1"/>
          <w:sz w:val="28"/>
          <w:szCs w:val="28"/>
        </w:rPr>
        <w:t>%</w:t>
      </w:r>
      <w:r>
        <w:rPr>
          <w:color w:val="000000" w:themeColor="text1"/>
          <w:sz w:val="28"/>
          <w:szCs w:val="28"/>
        </w:rPr>
        <w:t xml:space="preserve"> (170 обращений). Это обращения, с просьбами об оказании финансовой помощи семьям, находящимся в трудной жизненной ситуации, а также социальная поддержка и социальная помощь семьям участников специальной военной операции.</w:t>
      </w:r>
    </w:p>
    <w:p w:rsidR="008E2D32" w:rsidRDefault="00F46FE8">
      <w:pPr>
        <w:tabs>
          <w:tab w:val="right" w:pos="1134"/>
        </w:tabs>
        <w:spacing w:after="0" w:line="240" w:lineRule="auto"/>
        <w:ind w:firstLine="709"/>
        <w:jc w:val="both"/>
        <w:rPr>
          <w:rFonts w:ascii="Times New Roman" w:hAnsi="Times New Roman"/>
          <w:sz w:val="28"/>
          <w:szCs w:val="28"/>
        </w:rPr>
      </w:pPr>
      <w:r w:rsidRPr="00F46FE8">
        <w:rPr>
          <w:rStyle w:val="FontStyle21"/>
          <w:rFonts w:eastAsia="Arial Unicode MS"/>
          <w:sz w:val="28"/>
          <w:szCs w:val="28"/>
          <w:lang w:eastAsia="ar-SA"/>
        </w:rPr>
        <w:t xml:space="preserve">Администрацией города проводится работа по взаимодействию с общественностью и средствами массовой информации. </w:t>
      </w:r>
      <w:r w:rsidR="00D971D5">
        <w:rPr>
          <w:rFonts w:ascii="Times New Roman" w:hAnsi="Times New Roman"/>
          <w:sz w:val="28"/>
          <w:szCs w:val="28"/>
        </w:rPr>
        <w:t>Администрация использует любые возможные каналы коммуникаций для общения с населением.</w:t>
      </w:r>
    </w:p>
    <w:p w:rsidR="008E2D32" w:rsidRDefault="00D971D5">
      <w:pPr>
        <w:tabs>
          <w:tab w:val="righ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 постоянной основе ведется работа с обращениями в социальных сетях. Активно работают официальные аккаунты администрации города, основной задачей которых является информирование граждан о деятельности администрации. </w:t>
      </w:r>
      <w:r w:rsidRPr="005A0103">
        <w:rPr>
          <w:rFonts w:ascii="Times New Roman" w:hAnsi="Times New Roman"/>
          <w:sz w:val="28"/>
          <w:szCs w:val="28"/>
        </w:rPr>
        <w:t xml:space="preserve">Администрация города представлена официальными аккаунтами во всех социальных сетях: Телеграм (количество подписчиков в </w:t>
      </w:r>
      <w:r w:rsidRPr="005A0103">
        <w:rPr>
          <w:rFonts w:ascii="Times New Roman" w:hAnsi="Times New Roman"/>
          <w:sz w:val="28"/>
          <w:szCs w:val="28"/>
        </w:rPr>
        <w:lastRenderedPageBreak/>
        <w:t>официальном аккаунте 5,454), Вконтакте (количество подписчиков в официальном аккаунте 37,8), Одноклассники (количество подписчиков на официальном аккаунте</w:t>
      </w:r>
      <w:r w:rsidR="005A0103">
        <w:rPr>
          <w:rFonts w:ascii="Times New Roman" w:hAnsi="Times New Roman"/>
          <w:sz w:val="28"/>
          <w:szCs w:val="28"/>
        </w:rPr>
        <w:t xml:space="preserve"> 13,1</w:t>
      </w:r>
      <w:r w:rsidRPr="005A0103">
        <w:rPr>
          <w:rFonts w:ascii="Times New Roman" w:hAnsi="Times New Roman"/>
          <w:sz w:val="28"/>
          <w:szCs w:val="28"/>
        </w:rPr>
        <w:t>), пользуются большой популярностью и аккаунты главы города в Телеграм (2,338 подписчиков) и Вконтакте (890 подписчиков).</w:t>
      </w:r>
    </w:p>
    <w:p w:rsidR="008E2D32" w:rsidRDefault="00D971D5">
      <w:pPr>
        <w:tabs>
          <w:tab w:val="righ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условиях развития современных технологий и повсеместной интеграции государственных и муниципальных органов власти в социальные интернет-сообщества, появилось новое направление деятельности – работа с обращениями граждан в интернете. Кроме уже ставших традиционными ответов на жалобы жителей в социальных сетях, ведется работа в программе «Инцидент менеджмент» -  крупнейшей </w:t>
      </w:r>
      <w:r>
        <w:rPr>
          <w:rStyle w:val="extended-textshort"/>
          <w:rFonts w:ascii="Times New Roman" w:hAnsi="Times New Roman"/>
          <w:sz w:val="28"/>
          <w:szCs w:val="28"/>
        </w:rPr>
        <w:t>автоматизированной системе мониторинга СОЦМЕДИА и СМИ в стране</w:t>
      </w:r>
      <w:r>
        <w:rPr>
          <w:rFonts w:ascii="Times New Roman" w:hAnsi="Times New Roman"/>
          <w:sz w:val="28"/>
          <w:szCs w:val="28"/>
        </w:rPr>
        <w:t xml:space="preserve"> «Медиалогия». Основная масса вопросов, на которые приходится отвечать в социальных сетях, касается коммунального хозяйства. </w:t>
      </w:r>
    </w:p>
    <w:p w:rsidR="008E2D32" w:rsidRDefault="005A0103">
      <w:pPr>
        <w:tabs>
          <w:tab w:val="right" w:pos="1134"/>
        </w:tabs>
        <w:spacing w:after="0" w:line="240" w:lineRule="auto"/>
        <w:ind w:firstLine="709"/>
        <w:jc w:val="both"/>
        <w:rPr>
          <w:rFonts w:ascii="Times New Roman" w:hAnsi="Times New Roman"/>
          <w:sz w:val="28"/>
          <w:szCs w:val="28"/>
        </w:rPr>
      </w:pPr>
      <w:r w:rsidRPr="005A0103">
        <w:rPr>
          <w:rFonts w:ascii="Times New Roman" w:hAnsi="Times New Roman"/>
          <w:sz w:val="28"/>
          <w:szCs w:val="28"/>
        </w:rPr>
        <w:t>С начала 2025</w:t>
      </w:r>
      <w:r w:rsidR="00D971D5" w:rsidRPr="005A0103">
        <w:rPr>
          <w:rFonts w:ascii="Times New Roman" w:hAnsi="Times New Roman"/>
          <w:sz w:val="28"/>
          <w:szCs w:val="28"/>
        </w:rPr>
        <w:t xml:space="preserve"> года отв</w:t>
      </w:r>
      <w:r w:rsidRPr="005A0103">
        <w:rPr>
          <w:rFonts w:ascii="Times New Roman" w:hAnsi="Times New Roman"/>
          <w:sz w:val="28"/>
          <w:szCs w:val="28"/>
        </w:rPr>
        <w:t>еты даны на 3646 обращений (3270 обращения в 2024</w:t>
      </w:r>
      <w:r w:rsidR="00D971D5" w:rsidRPr="005A0103">
        <w:rPr>
          <w:rFonts w:ascii="Times New Roman" w:hAnsi="Times New Roman"/>
          <w:sz w:val="28"/>
          <w:szCs w:val="28"/>
        </w:rPr>
        <w:t xml:space="preserve"> году). Чаще всего люди обращаются с проблемой касающейся тематики «Коммунальное хозяйство».</w:t>
      </w:r>
    </w:p>
    <w:p w:rsidR="008E2D32" w:rsidRDefault="00D971D5">
      <w:pPr>
        <w:tabs>
          <w:tab w:val="righ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ведется работа с сообщениями и обращениями граждан с использованием подсистемы «Единый портал государственных и муниципальных услуг (функций)» платформы обратной связи «Госуслуги. Решаем вместе» в Краснодарском крае. Основная масса вопросов, на которые отвечают специалисты касаются коммунального хозяйства. </w:t>
      </w:r>
    </w:p>
    <w:p w:rsidR="00F46FE8" w:rsidRDefault="00D971D5" w:rsidP="00F46FE8">
      <w:pPr>
        <w:tabs>
          <w:tab w:val="righ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С начала 2025 года поступило </w:t>
      </w:r>
      <w:r w:rsidR="00A76EE5">
        <w:rPr>
          <w:rFonts w:ascii="Times New Roman" w:hAnsi="Times New Roman"/>
          <w:sz w:val="28"/>
          <w:szCs w:val="28"/>
        </w:rPr>
        <w:t>414</w:t>
      </w:r>
      <w:r w:rsidR="005A0103">
        <w:rPr>
          <w:rFonts w:ascii="Times New Roman" w:hAnsi="Times New Roman"/>
          <w:sz w:val="28"/>
          <w:szCs w:val="28"/>
        </w:rPr>
        <w:t xml:space="preserve"> сообщений, из них 290 обращений</w:t>
      </w:r>
      <w:r w:rsidR="00A76EE5">
        <w:rPr>
          <w:rFonts w:ascii="Times New Roman" w:hAnsi="Times New Roman"/>
          <w:sz w:val="28"/>
          <w:szCs w:val="28"/>
        </w:rPr>
        <w:t>,</w:t>
      </w:r>
      <w:r>
        <w:rPr>
          <w:rFonts w:ascii="Times New Roman" w:hAnsi="Times New Roman"/>
          <w:sz w:val="28"/>
          <w:szCs w:val="28"/>
        </w:rPr>
        <w:t xml:space="preserve"> </w:t>
      </w:r>
      <w:r w:rsidR="00A76EE5">
        <w:rPr>
          <w:rFonts w:ascii="Times New Roman" w:hAnsi="Times New Roman"/>
          <w:sz w:val="28"/>
          <w:szCs w:val="28"/>
        </w:rPr>
        <w:t>(278</w:t>
      </w:r>
      <w:r w:rsidR="005A0103">
        <w:rPr>
          <w:rFonts w:ascii="Times New Roman" w:hAnsi="Times New Roman"/>
          <w:sz w:val="28"/>
          <w:szCs w:val="28"/>
        </w:rPr>
        <w:t xml:space="preserve"> сообщений</w:t>
      </w:r>
      <w:r>
        <w:rPr>
          <w:rFonts w:ascii="Times New Roman" w:hAnsi="Times New Roman"/>
          <w:sz w:val="28"/>
          <w:szCs w:val="28"/>
        </w:rPr>
        <w:t xml:space="preserve"> в а</w:t>
      </w:r>
      <w:r w:rsidR="00A76EE5">
        <w:rPr>
          <w:rFonts w:ascii="Times New Roman" w:hAnsi="Times New Roman"/>
          <w:sz w:val="28"/>
          <w:szCs w:val="28"/>
        </w:rPr>
        <w:t>налогичном периоде в 2024 году, из них 185 обращений)</w:t>
      </w:r>
      <w:r w:rsidR="005A0103">
        <w:rPr>
          <w:rFonts w:ascii="Times New Roman" w:hAnsi="Times New Roman"/>
          <w:sz w:val="28"/>
          <w:szCs w:val="28"/>
        </w:rPr>
        <w:t>.</w:t>
      </w:r>
      <w:r w:rsidR="00A76EE5">
        <w:rPr>
          <w:rFonts w:ascii="Times New Roman" w:hAnsi="Times New Roman"/>
          <w:sz w:val="28"/>
          <w:szCs w:val="28"/>
        </w:rPr>
        <w:t xml:space="preserve"> </w:t>
      </w:r>
    </w:p>
    <w:p w:rsidR="008E2D32" w:rsidRDefault="005A0103">
      <w:pPr>
        <w:spacing w:after="0" w:line="240" w:lineRule="auto"/>
        <w:ind w:firstLine="709"/>
        <w:jc w:val="both"/>
        <w:rPr>
          <w:rFonts w:ascii="Times New Roman" w:hAnsi="Times New Roman"/>
          <w:sz w:val="28"/>
          <w:szCs w:val="28"/>
        </w:rPr>
      </w:pPr>
      <w:r>
        <w:rPr>
          <w:rFonts w:ascii="Times New Roman" w:hAnsi="Times New Roman"/>
          <w:sz w:val="28"/>
          <w:szCs w:val="28"/>
        </w:rPr>
        <w:t>В 2025</w:t>
      </w:r>
      <w:r w:rsidR="00D971D5" w:rsidRPr="005A0103">
        <w:rPr>
          <w:rFonts w:ascii="Times New Roman" w:hAnsi="Times New Roman"/>
          <w:sz w:val="28"/>
          <w:szCs w:val="28"/>
        </w:rPr>
        <w:t xml:space="preserve"> году продолжается практика ведения внутреннего контроля за соблюдением порядка рассмотрения обращений граждан. Отделом по работе с обращениями граждан осуществляется проверка полноты ответов, достоверность предоставленной информации, наличие необходимых квалифицированных разъяснения со ссылкой на нормативные правовые акты, также проводится проверка хода рассмотрения обращения, проводится анализ рассмотренных обращений, после чего главе </w:t>
      </w:r>
      <w:r>
        <w:rPr>
          <w:rFonts w:ascii="Times New Roman" w:hAnsi="Times New Roman"/>
          <w:sz w:val="28"/>
          <w:szCs w:val="28"/>
        </w:rPr>
        <w:t xml:space="preserve">города </w:t>
      </w:r>
      <w:r w:rsidR="00D971D5" w:rsidRPr="005A0103">
        <w:rPr>
          <w:rFonts w:ascii="Times New Roman" w:hAnsi="Times New Roman"/>
          <w:sz w:val="28"/>
          <w:szCs w:val="28"/>
        </w:rPr>
        <w:t>подаются сведения о нарушениях, допущенных при рассмотрении обр</w:t>
      </w:r>
      <w:r>
        <w:rPr>
          <w:rFonts w:ascii="Times New Roman" w:hAnsi="Times New Roman"/>
          <w:sz w:val="28"/>
          <w:szCs w:val="28"/>
        </w:rPr>
        <w:t>ащений. За прошедший период 2025</w:t>
      </w:r>
      <w:r w:rsidR="00D971D5" w:rsidRPr="005A0103">
        <w:rPr>
          <w:rFonts w:ascii="Times New Roman" w:hAnsi="Times New Roman"/>
          <w:sz w:val="28"/>
          <w:szCs w:val="28"/>
        </w:rPr>
        <w:t xml:space="preserve"> года по результатам такого ведомственного контроля дисциплинарные взыскания за нарушение порядка рассмотрения обращений применены в отношении </w:t>
      </w:r>
      <w:r>
        <w:rPr>
          <w:rFonts w:ascii="Times New Roman" w:hAnsi="Times New Roman"/>
          <w:sz w:val="28"/>
          <w:szCs w:val="28"/>
        </w:rPr>
        <w:t xml:space="preserve">5 должностных лиц, как и в аналогичном периоде 2024 года. </w:t>
      </w:r>
    </w:p>
    <w:p w:rsidR="008E2D32" w:rsidRDefault="008E2D32">
      <w:pPr>
        <w:spacing w:after="0" w:line="240" w:lineRule="auto"/>
        <w:jc w:val="center"/>
        <w:rPr>
          <w:rFonts w:ascii="Times New Roman" w:hAnsi="Times New Roman"/>
          <w:sz w:val="28"/>
          <w:szCs w:val="28"/>
        </w:rPr>
      </w:pPr>
    </w:p>
    <w:p w:rsidR="008E2D32" w:rsidRDefault="008E2D32">
      <w:pPr>
        <w:pStyle w:val="Style10"/>
        <w:widowControl/>
        <w:tabs>
          <w:tab w:val="left" w:pos="883"/>
          <w:tab w:val="right" w:pos="1134"/>
        </w:tabs>
        <w:spacing w:line="240" w:lineRule="auto"/>
        <w:ind w:firstLine="0"/>
        <w:rPr>
          <w:rStyle w:val="FontStyle21"/>
          <w:rFonts w:eastAsia="Arial Unicode MS"/>
          <w:sz w:val="28"/>
          <w:szCs w:val="28"/>
        </w:rPr>
      </w:pPr>
      <w:bookmarkStart w:id="0" w:name="_GoBack"/>
      <w:bookmarkEnd w:id="0"/>
    </w:p>
    <w:p w:rsidR="00F46FE8" w:rsidRDefault="00F46FE8">
      <w:pPr>
        <w:tabs>
          <w:tab w:val="right" w:pos="1134"/>
          <w:tab w:val="left" w:pos="1276"/>
        </w:tabs>
        <w:spacing w:after="0" w:line="24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Начальник отдела по </w:t>
      </w:r>
    </w:p>
    <w:p w:rsidR="008E2D32" w:rsidRPr="00D971D5" w:rsidRDefault="00F46FE8">
      <w:pPr>
        <w:tabs>
          <w:tab w:val="right" w:pos="1134"/>
          <w:tab w:val="left" w:pos="1276"/>
        </w:tabs>
        <w:spacing w:after="0" w:line="240" w:lineRule="auto"/>
        <w:jc w:val="both"/>
        <w:rPr>
          <w:rFonts w:ascii="Times New Roman" w:eastAsia="Arial Unicode MS" w:hAnsi="Times New Roman"/>
          <w:sz w:val="28"/>
          <w:szCs w:val="28"/>
        </w:rPr>
      </w:pPr>
      <w:r>
        <w:rPr>
          <w:rFonts w:ascii="Times New Roman" w:eastAsia="Arial Unicode MS" w:hAnsi="Times New Roman"/>
          <w:sz w:val="28"/>
          <w:szCs w:val="28"/>
        </w:rPr>
        <w:t>работе с обращениями граждан                                                        Ю.О. Шаталова</w:t>
      </w:r>
    </w:p>
    <w:sectPr w:rsidR="008E2D32" w:rsidRPr="00D971D5">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32" w:rsidRDefault="00D971D5">
      <w:pPr>
        <w:spacing w:after="0" w:line="240" w:lineRule="auto"/>
      </w:pPr>
      <w:r>
        <w:separator/>
      </w:r>
    </w:p>
  </w:endnote>
  <w:endnote w:type="continuationSeparator" w:id="0">
    <w:p w:rsidR="008E2D32" w:rsidRDefault="00D9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default"/>
  </w:font>
  <w:font w:name="Arial Unicode MS">
    <w:panose1 w:val="020B0604020202020204"/>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32" w:rsidRDefault="00D971D5">
      <w:pPr>
        <w:spacing w:after="0" w:line="240" w:lineRule="auto"/>
      </w:pPr>
      <w:r>
        <w:separator/>
      </w:r>
    </w:p>
  </w:footnote>
  <w:footnote w:type="continuationSeparator" w:id="0">
    <w:p w:rsidR="008E2D32" w:rsidRDefault="00D9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32" w:rsidRDefault="00D971D5">
    <w:pPr>
      <w:pStyle w:val="15"/>
      <w:jc w:val="center"/>
    </w:pPr>
    <w:r>
      <w:fldChar w:fldCharType="begin"/>
    </w:r>
    <w:r>
      <w:instrText>PAGE \* MERGEFORMAT</w:instrText>
    </w:r>
    <w:r>
      <w:fldChar w:fldCharType="separate"/>
    </w:r>
    <w:r w:rsidR="00F46FE8">
      <w:rPr>
        <w:noProof/>
      </w:rPr>
      <w:t>3</w:t>
    </w:r>
    <w:r>
      <w:fldChar w:fldCharType="end"/>
    </w:r>
  </w:p>
  <w:p w:rsidR="008E2D32" w:rsidRDefault="008E2D32">
    <w:pPr>
      <w:pStyle w:val="1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D695E"/>
    <w:multiLevelType w:val="hybridMultilevel"/>
    <w:tmpl w:val="F3EE86F2"/>
    <w:lvl w:ilvl="0" w:tplc="9B64DEAE">
      <w:start w:val="1"/>
      <w:numFmt w:val="decimal"/>
      <w:lvlText w:val="%1."/>
      <w:lvlJc w:val="left"/>
      <w:pPr>
        <w:ind w:left="720" w:hanging="360"/>
      </w:pPr>
      <w:rPr>
        <w:rFonts w:hint="default"/>
      </w:rPr>
    </w:lvl>
    <w:lvl w:ilvl="1" w:tplc="3D46298C">
      <w:start w:val="1"/>
      <w:numFmt w:val="lowerLetter"/>
      <w:lvlText w:val="%2."/>
      <w:lvlJc w:val="left"/>
      <w:pPr>
        <w:ind w:left="1440" w:hanging="360"/>
      </w:pPr>
    </w:lvl>
    <w:lvl w:ilvl="2" w:tplc="5CCC5378">
      <w:start w:val="1"/>
      <w:numFmt w:val="lowerRoman"/>
      <w:lvlText w:val="%3."/>
      <w:lvlJc w:val="right"/>
      <w:pPr>
        <w:ind w:left="2160" w:hanging="180"/>
      </w:pPr>
    </w:lvl>
    <w:lvl w:ilvl="3" w:tplc="B39CDFC6">
      <w:start w:val="1"/>
      <w:numFmt w:val="decimal"/>
      <w:lvlText w:val="%4."/>
      <w:lvlJc w:val="left"/>
      <w:pPr>
        <w:ind w:left="2880" w:hanging="360"/>
      </w:pPr>
    </w:lvl>
    <w:lvl w:ilvl="4" w:tplc="4C42F5EC">
      <w:start w:val="1"/>
      <w:numFmt w:val="lowerLetter"/>
      <w:lvlText w:val="%5."/>
      <w:lvlJc w:val="left"/>
      <w:pPr>
        <w:ind w:left="3600" w:hanging="360"/>
      </w:pPr>
    </w:lvl>
    <w:lvl w:ilvl="5" w:tplc="DFAA2D48">
      <w:start w:val="1"/>
      <w:numFmt w:val="lowerRoman"/>
      <w:lvlText w:val="%6."/>
      <w:lvlJc w:val="right"/>
      <w:pPr>
        <w:ind w:left="4320" w:hanging="180"/>
      </w:pPr>
    </w:lvl>
    <w:lvl w:ilvl="6" w:tplc="780CC67C">
      <w:start w:val="1"/>
      <w:numFmt w:val="decimal"/>
      <w:lvlText w:val="%7."/>
      <w:lvlJc w:val="left"/>
      <w:pPr>
        <w:ind w:left="5040" w:hanging="360"/>
      </w:pPr>
    </w:lvl>
    <w:lvl w:ilvl="7" w:tplc="03F29682">
      <w:start w:val="1"/>
      <w:numFmt w:val="lowerLetter"/>
      <w:lvlText w:val="%8."/>
      <w:lvlJc w:val="left"/>
      <w:pPr>
        <w:ind w:left="5760" w:hanging="360"/>
      </w:pPr>
    </w:lvl>
    <w:lvl w:ilvl="8" w:tplc="80A6F8E2">
      <w:start w:val="1"/>
      <w:numFmt w:val="lowerRoman"/>
      <w:lvlText w:val="%9."/>
      <w:lvlJc w:val="right"/>
      <w:pPr>
        <w:ind w:left="6480" w:hanging="180"/>
      </w:pPr>
    </w:lvl>
  </w:abstractNum>
  <w:abstractNum w:abstractNumId="1" w15:restartNumberingAfterBreak="0">
    <w:nsid w:val="571040A9"/>
    <w:multiLevelType w:val="hybridMultilevel"/>
    <w:tmpl w:val="8DD24956"/>
    <w:lvl w:ilvl="0" w:tplc="CE5AD3F0">
      <w:start w:val="4"/>
      <w:numFmt w:val="decimal"/>
      <w:lvlText w:val="%1."/>
      <w:lvlJc w:val="left"/>
      <w:pPr>
        <w:ind w:left="1392" w:hanging="360"/>
      </w:pPr>
      <w:rPr>
        <w:rFonts w:hint="default"/>
      </w:rPr>
    </w:lvl>
    <w:lvl w:ilvl="1" w:tplc="4BAE9FA4">
      <w:start w:val="1"/>
      <w:numFmt w:val="lowerLetter"/>
      <w:lvlText w:val="%2."/>
      <w:lvlJc w:val="left"/>
      <w:pPr>
        <w:ind w:left="2112" w:hanging="360"/>
      </w:pPr>
    </w:lvl>
    <w:lvl w:ilvl="2" w:tplc="DD6C32A0">
      <w:start w:val="1"/>
      <w:numFmt w:val="lowerRoman"/>
      <w:lvlText w:val="%3."/>
      <w:lvlJc w:val="right"/>
      <w:pPr>
        <w:ind w:left="2832" w:hanging="180"/>
      </w:pPr>
    </w:lvl>
    <w:lvl w:ilvl="3" w:tplc="9B74501E">
      <w:start w:val="1"/>
      <w:numFmt w:val="decimal"/>
      <w:lvlText w:val="%4."/>
      <w:lvlJc w:val="left"/>
      <w:pPr>
        <w:ind w:left="3552" w:hanging="360"/>
      </w:pPr>
    </w:lvl>
    <w:lvl w:ilvl="4" w:tplc="0B7AC1CA">
      <w:start w:val="1"/>
      <w:numFmt w:val="lowerLetter"/>
      <w:lvlText w:val="%5."/>
      <w:lvlJc w:val="left"/>
      <w:pPr>
        <w:ind w:left="4272" w:hanging="360"/>
      </w:pPr>
    </w:lvl>
    <w:lvl w:ilvl="5" w:tplc="14D825B0">
      <w:start w:val="1"/>
      <w:numFmt w:val="lowerRoman"/>
      <w:lvlText w:val="%6."/>
      <w:lvlJc w:val="right"/>
      <w:pPr>
        <w:ind w:left="4992" w:hanging="180"/>
      </w:pPr>
    </w:lvl>
    <w:lvl w:ilvl="6" w:tplc="529219D4">
      <w:start w:val="1"/>
      <w:numFmt w:val="decimal"/>
      <w:lvlText w:val="%7."/>
      <w:lvlJc w:val="left"/>
      <w:pPr>
        <w:ind w:left="5712" w:hanging="360"/>
      </w:pPr>
    </w:lvl>
    <w:lvl w:ilvl="7" w:tplc="4320807E">
      <w:start w:val="1"/>
      <w:numFmt w:val="lowerLetter"/>
      <w:lvlText w:val="%8."/>
      <w:lvlJc w:val="left"/>
      <w:pPr>
        <w:ind w:left="6432" w:hanging="360"/>
      </w:pPr>
    </w:lvl>
    <w:lvl w:ilvl="8" w:tplc="CD2CCB3C">
      <w:start w:val="1"/>
      <w:numFmt w:val="lowerRoman"/>
      <w:lvlText w:val="%9."/>
      <w:lvlJc w:val="right"/>
      <w:pPr>
        <w:ind w:left="71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32"/>
    <w:rsid w:val="0033047F"/>
    <w:rsid w:val="005A0103"/>
    <w:rsid w:val="006859EE"/>
    <w:rsid w:val="008E2D32"/>
    <w:rsid w:val="00A76EE5"/>
    <w:rsid w:val="00AF26DA"/>
    <w:rsid w:val="00B1255C"/>
    <w:rsid w:val="00D971D5"/>
    <w:rsid w:val="00F4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EE07"/>
  <w15:docId w15:val="{31BE1C7E-9F58-4AE8-8509-875C75E8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Times New Roman"/>
    </w:rPr>
  </w:style>
  <w:style w:type="paragraph" w:styleId="1">
    <w:name w:val="heading 1"/>
    <w:basedOn w:val="a"/>
    <w:next w:val="a"/>
    <w:uiPriority w:val="9"/>
    <w:qFormat/>
    <w:pPr>
      <w:keepNext/>
      <w:keepLines/>
      <w:spacing w:before="48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outlineLvl w:val="1"/>
    </w:pPr>
    <w:rPr>
      <w:rFonts w:ascii="Arial" w:eastAsia="Arial" w:hAnsi="Arial" w:cs="Arial"/>
      <w:sz w:val="34"/>
    </w:rPr>
  </w:style>
  <w:style w:type="paragraph" w:styleId="3">
    <w:name w:val="heading 3"/>
    <w:basedOn w:val="a"/>
    <w:next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outlineLvl w:val="5"/>
    </w:pPr>
    <w:rPr>
      <w:rFonts w:ascii="Arial" w:eastAsia="Arial" w:hAnsi="Arial" w:cs="Arial"/>
      <w:b/>
      <w:bCs/>
    </w:rPr>
  </w:style>
  <w:style w:type="paragraph" w:styleId="7">
    <w:name w:val="heading 7"/>
    <w:basedOn w:val="a"/>
    <w:next w:val="a"/>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outlineLvl w:val="7"/>
    </w:pPr>
    <w:rPr>
      <w:rFonts w:ascii="Arial" w:eastAsia="Arial" w:hAnsi="Arial" w:cs="Arial"/>
      <w:i/>
      <w:iCs/>
    </w:rPr>
  </w:style>
  <w:style w:type="paragraph" w:styleId="9">
    <w:name w:val="heading 9"/>
    <w:basedOn w:val="a"/>
    <w:next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basedOn w:val="a0"/>
    <w:uiPriority w:val="99"/>
  </w:style>
  <w:style w:type="character" w:customStyle="1" w:styleId="CaptionChar">
    <w:name w:val="Caption Char"/>
    <w:uiPriority w:val="99"/>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1"/>
    <w:uiPriority w:val="99"/>
    <w:unhideWhenUsed/>
    <w:pPr>
      <w:tabs>
        <w:tab w:val="center" w:pos="7143"/>
        <w:tab w:val="right" w:pos="14287"/>
      </w:tabs>
      <w:spacing w:after="0" w:line="240" w:lineRule="auto"/>
    </w:pPr>
  </w:style>
  <w:style w:type="paragraph" w:styleId="a5">
    <w:name w:val="caption"/>
    <w:basedOn w:val="a"/>
    <w:next w:val="a"/>
    <w:uiPriority w:val="35"/>
    <w:semiHidden/>
    <w:unhideWhenUsed/>
    <w:qFormat/>
    <w:rPr>
      <w:b/>
      <w:bCs/>
      <w:color w:val="4F81BD" w:themeColor="accent1"/>
      <w:sz w:val="18"/>
      <w:szCs w:val="18"/>
    </w:r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cPr>
    </w:tblStylePr>
    <w:tblStylePr w:type="band1Horz">
      <w:tblPr/>
      <w:tcPr>
        <w:shd w:val="clear" w:color="auto" w:fill="FFFFFF"/>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FFF"/>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hemeColor="light1"/>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FFFFFF"/>
      </w:tcPr>
    </w:tblStylePr>
    <w:tblStylePr w:type="band1Horz">
      <w:rPr>
        <w:rFonts w:ascii="Arial" w:hAnsi="Arial"/>
        <w:color w:val="7F7F7F" w:themeColor="text1" w:themeTint="80" w:themeShade="95"/>
        <w:sz w:val="22"/>
      </w:rPr>
      <w:tblPr/>
      <w:tcPr>
        <w:shd w:val="clear" w:color="auto" w:fill="FFFFFF"/>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rFonts w:ascii="Arial" w:hAnsi="Arial"/>
        <w:color w:val="7F7F7F" w:themeColor="text1" w:themeTint="80" w:themeShade="95"/>
        <w:sz w:val="22"/>
      </w:rPr>
      <w:tblPr/>
      <w:tcPr>
        <w:shd w:val="clear" w:color="auto" w:fill="FFFFFF"/>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FFFF"/>
      </w:tcPr>
    </w:tblStylePr>
    <w:tblStylePr w:type="band1Horz">
      <w:tblPr/>
      <w:tcPr>
        <w:shd w:val="clear" w:color="auto" w:fill="FFFFFF"/>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cPr>
    </w:tblStylePr>
    <w:tblStylePr w:type="band1Horz">
      <w:rPr>
        <w:rFonts w:ascii="Arial" w:hAnsi="Arial"/>
        <w:color w:val="404040"/>
        <w:sz w:val="22"/>
      </w:rPr>
      <w:tblPr/>
      <w:tcPr>
        <w:shd w:val="clear" w:color="auto" w:fill="FFFFFF"/>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FFFF"/>
      </w:tcPr>
    </w:tblStylePr>
    <w:tblStylePr w:type="band2Horz">
      <w:tblPr/>
      <w:tcPr>
        <w:tcBorders>
          <w:top w:val="single" w:sz="4" w:space="0" w:color="FFFFFF" w:themeColor="light1"/>
          <w:bottom w:val="single" w:sz="4" w:space="0" w:color="FFFFFF" w:themeColor="light1"/>
        </w:tcBorders>
        <w:shd w:val="clear" w:color="auto" w:fill="FFFFFF"/>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FFFFFF"/>
      </w:tcPr>
    </w:tblStylePr>
    <w:tblStylePr w:type="band1Horz">
      <w:rPr>
        <w:rFonts w:ascii="Arial" w:hAnsi="Arial"/>
        <w:color w:val="000000" w:themeColor="text1"/>
        <w:sz w:val="22"/>
      </w:rPr>
      <w:tblPr/>
      <w:tcPr>
        <w:shd w:val="clear" w:color="auto" w:fill="FFFFFF"/>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rFonts w:ascii="Arial" w:hAnsi="Arial"/>
        <w:color w:val="7F7F7F" w:themeColor="text1" w:themeTint="80" w:themeShade="95"/>
        <w:sz w:val="22"/>
      </w:rPr>
      <w:tblPr/>
      <w:tcPr>
        <w:shd w:val="clear" w:color="auto" w:fill="FFFFFF"/>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0">
    <w:name w:val="Заголовок 11"/>
    <w:basedOn w:val="a"/>
    <w:next w:val="a"/>
    <w:link w:val="Heading1Char"/>
    <w:uiPriority w:val="9"/>
    <w:qFormat/>
    <w:pPr>
      <w:keepNext/>
      <w:keepLines/>
      <w:spacing w:before="480"/>
      <w:outlineLvl w:val="0"/>
    </w:pPr>
    <w:rPr>
      <w:rFonts w:ascii="Arial" w:eastAsia="Arial" w:hAnsi="Arial" w:cs="Arial"/>
      <w:sz w:val="40"/>
      <w:szCs w:val="40"/>
    </w:rPr>
  </w:style>
  <w:style w:type="character" w:customStyle="1" w:styleId="Heading1Char">
    <w:name w:val="Heading 1 Char"/>
    <w:basedOn w:val="a0"/>
    <w:link w:val="110"/>
    <w:uiPriority w:val="9"/>
    <w:rPr>
      <w:rFonts w:ascii="Arial" w:eastAsia="Arial" w:hAnsi="Arial" w:cs="Arial"/>
      <w:sz w:val="40"/>
      <w:szCs w:val="40"/>
    </w:rPr>
  </w:style>
  <w:style w:type="paragraph" w:customStyle="1" w:styleId="21">
    <w:name w:val="Заголовок 21"/>
    <w:basedOn w:val="a"/>
    <w:next w:val="a"/>
    <w:link w:val="Heading2Char"/>
    <w:uiPriority w:val="9"/>
    <w:unhideWhenUsed/>
    <w:qFormat/>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Pr>
      <w:rFonts w:ascii="Arial" w:eastAsia="Arial" w:hAnsi="Arial" w:cs="Arial"/>
      <w:sz w:val="30"/>
      <w:szCs w:val="30"/>
    </w:rPr>
  </w:style>
  <w:style w:type="paragraph" w:customStyle="1" w:styleId="41">
    <w:name w:val="Заголовок 41"/>
    <w:basedOn w:val="a"/>
    <w:next w:val="a"/>
    <w:link w:val="Heading4Char"/>
    <w:uiPriority w:val="9"/>
    <w:unhideWhenUsed/>
    <w:qFormat/>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6">
    <w:name w:val="Title"/>
    <w:basedOn w:val="a"/>
    <w:next w:val="a"/>
    <w:link w:val="a7"/>
    <w:uiPriority w:val="10"/>
    <w:qFormat/>
    <w:pPr>
      <w:spacing w:before="300"/>
      <w:contextualSpacing/>
    </w:pPr>
    <w:rPr>
      <w:sz w:val="48"/>
      <w:szCs w:val="48"/>
    </w:rPr>
  </w:style>
  <w:style w:type="character" w:customStyle="1" w:styleId="a7">
    <w:name w:val="Заголовок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0"/>
    <w:link w:val="a3"/>
    <w:uiPriority w:val="99"/>
  </w:style>
  <w:style w:type="character" w:customStyle="1" w:styleId="FooterChar">
    <w:name w:val="Footer Char"/>
    <w:basedOn w:val="a0"/>
    <w:uiPriority w:val="99"/>
  </w:style>
  <w:style w:type="paragraph" w:customStyle="1" w:styleId="13">
    <w:name w:val="Название объекта1"/>
    <w:basedOn w:val="a"/>
    <w:next w:val="a"/>
    <w:uiPriority w:val="35"/>
    <w:semiHidden/>
    <w:unhideWhenUsed/>
    <w:qFormat/>
    <w:rPr>
      <w:b/>
      <w:bCs/>
      <w:color w:val="4F81BD" w:themeColor="accent1"/>
      <w:sz w:val="18"/>
      <w:szCs w:val="18"/>
    </w:rPr>
  </w:style>
  <w:style w:type="character" w:customStyle="1" w:styleId="11">
    <w:name w:val="Нижний колонтитул Знак1"/>
    <w:link w:val="a4"/>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auto"/>
      </w:tcPr>
    </w:tblStylePr>
    <w:tblStylePr w:type="band1Horz">
      <w:tblPr/>
      <w:tcPr>
        <w:shd w:val="clear" w:color="auto"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auto"/>
      </w:tcPr>
    </w:tblStylePr>
    <w:tblStylePr w:type="lastRow">
      <w:rPr>
        <w:i/>
        <w:color w:val="404040"/>
      </w:rPr>
      <w:tblPr/>
      <w:tcPr>
        <w:tcBorders>
          <w:top w:val="single" w:sz="4" w:space="0" w:color="404040"/>
          <w:left w:val="none" w:sz="4" w:space="0" w:color="000000"/>
          <w:right w:val="none" w:sz="4" w:space="0" w:color="00000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uto"/>
      </w:tcPr>
    </w:tblStylePr>
    <w:tblStylePr w:type="lastRow">
      <w:rPr>
        <w:rFonts w:ascii="Arial" w:hAnsi="Arial"/>
        <w:b/>
        <w:color w:val="FFFFFF"/>
        <w:sz w:val="22"/>
      </w:rPr>
      <w:tblPr/>
      <w:tcPr>
        <w:tcBorders>
          <w:top w:val="single" w:sz="4" w:space="0" w:color="FFFFFF" w:themeColor="light1"/>
        </w:tcBorders>
        <w:shd w:val="clear" w:color="auto" w:fill="auto"/>
      </w:tcPr>
    </w:tblStylePr>
    <w:tblStylePr w:type="firstCol">
      <w:rPr>
        <w:rFonts w:ascii="Arial" w:hAnsi="Arial"/>
        <w:b/>
        <w:color w:val="FFFFFF"/>
        <w:sz w:val="22"/>
      </w:rPr>
      <w:tblPr/>
      <w:tcPr>
        <w:shd w:val="clear" w:color="auto" w:fill="auto"/>
      </w:tcPr>
    </w:tblStylePr>
    <w:tblStylePr w:type="lastCol">
      <w:rPr>
        <w:rFonts w:ascii="Arial" w:hAnsi="Arial"/>
        <w:b/>
        <w:color w:val="FFFFFF"/>
        <w:sz w:val="22"/>
      </w:rPr>
      <w:tblPr/>
      <w:tcPr>
        <w:shd w:val="clear" w:color="auto" w:fill="auto"/>
      </w:tcPr>
    </w:tblStylePr>
    <w:tblStylePr w:type="band1Vert">
      <w:tblPr/>
      <w:tcPr>
        <w:shd w:val="clear" w:color="auto" w:fill="auto"/>
      </w:tcPr>
    </w:tblStylePr>
    <w:tblStylePr w:type="band1Horz">
      <w:tblPr/>
      <w:tcPr>
        <w:shd w:val="clear" w:color="auto"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auto"/>
      </w:tcPr>
    </w:tblStylePr>
    <w:tblStylePr w:type="band1Horz">
      <w:rPr>
        <w:rFonts w:ascii="Arial" w:hAnsi="Arial"/>
        <w:color w:val="7F7F7F" w:themeColor="text1" w:themeTint="80" w:themeShade="95"/>
        <w:sz w:val="22"/>
      </w:rPr>
      <w:tblPr/>
      <w:tcPr>
        <w:shd w:val="clear" w:color="auto"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auto"/>
      </w:tcPr>
    </w:tblStylePr>
    <w:tblStylePr w:type="band1Horz">
      <w:rPr>
        <w:rFonts w:ascii="Arial" w:hAnsi="Arial"/>
        <w:color w:val="A6BFDD" w:themeColor="accent1" w:themeTint="80" w:themeShade="95"/>
        <w:sz w:val="22"/>
      </w:rPr>
      <w:tblPr/>
      <w:tcPr>
        <w:shd w:val="clear" w:color="auto"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auto"/>
      </w:tcPr>
    </w:tblStylePr>
    <w:tblStylePr w:type="band1Horz">
      <w:rPr>
        <w:rFonts w:ascii="Arial" w:hAnsi="Arial"/>
        <w:color w:val="D99695" w:themeColor="accent2" w:themeTint="97" w:themeShade="95"/>
        <w:sz w:val="22"/>
      </w:rPr>
      <w:tblPr/>
      <w:tcPr>
        <w:shd w:val="clear" w:color="auto"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auto"/>
      </w:tcPr>
    </w:tblStylePr>
    <w:tblStylePr w:type="band1Horz">
      <w:rPr>
        <w:rFonts w:ascii="Arial" w:hAnsi="Arial"/>
        <w:color w:val="9ABB59" w:themeColor="accent3" w:themeTint="FE" w:themeShade="95"/>
        <w:sz w:val="22"/>
      </w:rPr>
      <w:tblPr/>
      <w:tcPr>
        <w:shd w:val="clear" w:color="auto"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auto"/>
      </w:tcPr>
    </w:tblStylePr>
    <w:tblStylePr w:type="band1Horz">
      <w:rPr>
        <w:rFonts w:ascii="Arial" w:hAnsi="Arial"/>
        <w:color w:val="B2A1C6" w:themeColor="accent4" w:themeTint="9A" w:themeShade="95"/>
        <w:sz w:val="22"/>
      </w:rPr>
      <w:tblPr/>
      <w:tcPr>
        <w:shd w:val="clear" w:color="auto"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auto"/>
      </w:tcPr>
    </w:tblStylePr>
    <w:tblStylePr w:type="band1Horz">
      <w:rPr>
        <w:rFonts w:ascii="Arial" w:hAnsi="Arial"/>
        <w:color w:val="266779" w:themeColor="accent5" w:themeShade="95"/>
        <w:sz w:val="22"/>
      </w:rPr>
      <w:tblPr/>
      <w:tcPr>
        <w:shd w:val="clear" w:color="auto"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auto"/>
      </w:tcPr>
    </w:tblStylePr>
    <w:tblStylePr w:type="band1Horz">
      <w:rPr>
        <w:rFonts w:ascii="Arial" w:hAnsi="Arial"/>
        <w:color w:val="266779" w:themeColor="accent5" w:themeShade="95"/>
        <w:sz w:val="22"/>
      </w:rPr>
      <w:tblPr/>
      <w:tcPr>
        <w:shd w:val="clear" w:color="auto"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7F7F7F" w:themeColor="text1" w:themeTint="80" w:themeShade="95"/>
        <w:sz w:val="22"/>
      </w:rPr>
      <w:tblPr/>
      <w:tcPr>
        <w:shd w:val="clear" w:color="auto"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A6BFDD" w:themeColor="accent1" w:themeTint="80" w:themeShade="95"/>
        <w:sz w:val="22"/>
      </w:rPr>
      <w:tblPr/>
      <w:tcPr>
        <w:shd w:val="clear" w:color="auto"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D99695" w:themeColor="accent2" w:themeTint="97" w:themeShade="95"/>
        <w:sz w:val="22"/>
      </w:rPr>
      <w:tblPr/>
      <w:tcPr>
        <w:shd w:val="clear" w:color="auto"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9ABB59" w:themeColor="accent3" w:themeTint="FE" w:themeShade="95"/>
        <w:sz w:val="22"/>
      </w:rPr>
      <w:tblPr/>
      <w:tcPr>
        <w:shd w:val="clear" w:color="auto"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B2A1C6" w:themeColor="accent4" w:themeTint="9A" w:themeShade="95"/>
        <w:sz w:val="22"/>
      </w:rPr>
      <w:tblPr/>
      <w:tcPr>
        <w:shd w:val="clear" w:color="auto"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266779" w:themeColor="accent5" w:themeShade="95"/>
        <w:sz w:val="22"/>
      </w:rPr>
      <w:tblPr/>
      <w:tcPr>
        <w:shd w:val="clear" w:color="auto"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B15407" w:themeColor="accent6" w:themeShade="95"/>
        <w:sz w:val="22"/>
      </w:rPr>
      <w:tblPr/>
      <w:tcPr>
        <w:shd w:val="clear" w:color="auto"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auto"/>
      </w:tcPr>
    </w:tblStylePr>
    <w:tblStylePr w:type="band1Horz">
      <w:tblPr/>
      <w:tcPr>
        <w:shd w:val="clear" w:color="auto"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uto"/>
      </w:tcPr>
    </w:tblStylePr>
    <w:tblStylePr w:type="band1Horz">
      <w:rPr>
        <w:rFonts w:ascii="Arial" w:hAnsi="Arial"/>
        <w:color w:val="404040"/>
        <w:sz w:val="22"/>
      </w:rPr>
      <w:tblPr/>
      <w:tcPr>
        <w:shd w:val="clear" w:color="auto"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uto"/>
      </w:tcPr>
    </w:tblStylePr>
    <w:tblStylePr w:type="band2Horz">
      <w:tblPr/>
      <w:tcPr>
        <w:tcBorders>
          <w:top w:val="single" w:sz="4" w:space="0" w:color="FFFFFF" w:themeColor="light1"/>
          <w:bottom w:val="single" w:sz="4" w:space="0" w:color="FFFFFF" w:themeColor="light1"/>
        </w:tcBorders>
        <w:shd w:val="clear" w:color="auto"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auto"/>
      </w:tcPr>
    </w:tblStylePr>
    <w:tblStylePr w:type="band1Horz">
      <w:rPr>
        <w:rFonts w:ascii="Arial" w:hAnsi="Arial"/>
        <w:color w:val="000000" w:themeColor="text1"/>
        <w:sz w:val="22"/>
      </w:rPr>
      <w:tblPr/>
      <w:tcPr>
        <w:shd w:val="clear" w:color="auto"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auto"/>
      </w:tcPr>
    </w:tblStylePr>
    <w:tblStylePr w:type="band1Horz">
      <w:rPr>
        <w:rFonts w:ascii="Arial" w:hAnsi="Arial"/>
        <w:color w:val="2A4A71" w:themeColor="accent1" w:themeShade="95"/>
        <w:sz w:val="22"/>
      </w:rPr>
      <w:tblPr/>
      <w:tcPr>
        <w:shd w:val="clear" w:color="auto"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auto"/>
      </w:tcPr>
    </w:tblStylePr>
    <w:tblStylePr w:type="band1Horz">
      <w:rPr>
        <w:rFonts w:ascii="Arial" w:hAnsi="Arial"/>
        <w:color w:val="D99695" w:themeColor="accent2" w:themeTint="97" w:themeShade="95"/>
        <w:sz w:val="22"/>
      </w:rPr>
      <w:tblPr/>
      <w:tcPr>
        <w:shd w:val="clear" w:color="auto"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auto"/>
      </w:tcPr>
    </w:tblStylePr>
    <w:tblStylePr w:type="band1Horz">
      <w:rPr>
        <w:rFonts w:ascii="Arial" w:hAnsi="Arial"/>
        <w:color w:val="C3D69B" w:themeColor="accent3" w:themeTint="98" w:themeShade="95"/>
        <w:sz w:val="22"/>
      </w:rPr>
      <w:tblPr/>
      <w:tcPr>
        <w:shd w:val="clear" w:color="auto"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auto"/>
      </w:tcPr>
    </w:tblStylePr>
    <w:tblStylePr w:type="band1Horz">
      <w:rPr>
        <w:rFonts w:ascii="Arial" w:hAnsi="Arial"/>
        <w:color w:val="B2A1C6" w:themeColor="accent4" w:themeTint="9A" w:themeShade="95"/>
        <w:sz w:val="22"/>
      </w:rPr>
      <w:tblPr/>
      <w:tcPr>
        <w:shd w:val="clear" w:color="auto"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auto"/>
      </w:tcPr>
    </w:tblStylePr>
    <w:tblStylePr w:type="band1Horz">
      <w:rPr>
        <w:rFonts w:ascii="Arial" w:hAnsi="Arial"/>
        <w:color w:val="92CCDC" w:themeColor="accent5" w:themeTint="9A" w:themeShade="95"/>
        <w:sz w:val="22"/>
      </w:rPr>
      <w:tblPr/>
      <w:tcPr>
        <w:shd w:val="clear" w:color="auto"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auto"/>
      </w:tcPr>
    </w:tblStylePr>
    <w:tblStylePr w:type="band1Horz">
      <w:rPr>
        <w:rFonts w:ascii="Arial" w:hAnsi="Arial"/>
        <w:color w:val="FAC090" w:themeColor="accent6" w:themeTint="98" w:themeShade="95"/>
        <w:sz w:val="22"/>
      </w:rPr>
      <w:tblPr/>
      <w:tcPr>
        <w:shd w:val="clear" w:color="auto"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7F7F7F" w:themeColor="text1" w:themeTint="80" w:themeShade="95"/>
        <w:sz w:val="22"/>
      </w:rPr>
      <w:tblPr/>
      <w:tcPr>
        <w:shd w:val="clear" w:color="auto"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2A4A71" w:themeColor="accent1" w:themeShade="95"/>
        <w:sz w:val="22"/>
      </w:rPr>
      <w:tblPr/>
      <w:tcPr>
        <w:shd w:val="clear" w:color="auto"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D99695" w:themeColor="accent2" w:themeTint="97" w:themeShade="95"/>
        <w:sz w:val="22"/>
      </w:rPr>
      <w:tblPr/>
      <w:tcPr>
        <w:shd w:val="clear" w:color="auto"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C3D69B" w:themeColor="accent3" w:themeTint="98" w:themeShade="95"/>
        <w:sz w:val="22"/>
      </w:rPr>
      <w:tblPr/>
      <w:tcPr>
        <w:shd w:val="clear" w:color="auto"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B2A1C6" w:themeColor="accent4" w:themeTint="9A" w:themeShade="95"/>
        <w:sz w:val="22"/>
      </w:rPr>
      <w:tblPr/>
      <w:tcPr>
        <w:shd w:val="clear" w:color="auto"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92CCDC" w:themeColor="accent5" w:themeTint="9A" w:themeShade="95"/>
        <w:sz w:val="22"/>
      </w:rPr>
      <w:tblPr/>
      <w:tcPr>
        <w:shd w:val="clear" w:color="auto"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auto"/>
      </w:tcPr>
    </w:tblStylePr>
    <w:tblStylePr w:type="band1Vert">
      <w:tblPr/>
      <w:tcPr>
        <w:shd w:val="clear" w:color="auto" w:fill="auto"/>
      </w:tcPr>
    </w:tblStylePr>
    <w:tblStylePr w:type="band1Horz">
      <w:rPr>
        <w:rFonts w:ascii="Arial" w:hAnsi="Arial"/>
        <w:color w:val="FAC090" w:themeColor="accent6" w:themeTint="98" w:themeShade="95"/>
        <w:sz w:val="22"/>
      </w:rPr>
      <w:tblPr/>
      <w:tcPr>
        <w:shd w:val="clear" w:color="auto"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auto"/>
      </w:tcPr>
    </w:tblStylePr>
    <w:tblStylePr w:type="lastRow">
      <w:rPr>
        <w:rFonts w:ascii="Arial" w:hAnsi="Arial"/>
        <w:color w:val="F2F2F2"/>
        <w:sz w:val="22"/>
      </w:rPr>
      <w:tblPr/>
      <w:tcPr>
        <w:shd w:val="clear" w:color="auto" w:fill="auto"/>
      </w:tcPr>
    </w:tblStylePr>
    <w:tblStylePr w:type="firstCol">
      <w:rPr>
        <w:rFonts w:ascii="Arial" w:hAnsi="Arial"/>
        <w:color w:val="F2F2F2"/>
        <w:sz w:val="22"/>
      </w:rPr>
      <w:tblPr/>
      <w:tcPr>
        <w:shd w:val="clear" w:color="auto" w:fill="auto"/>
      </w:tcPr>
    </w:tblStylePr>
    <w:tblStylePr w:type="lastCol">
      <w:rPr>
        <w:rFonts w:ascii="Arial" w:hAnsi="Arial"/>
        <w:color w:val="F2F2F2"/>
        <w:sz w:val="22"/>
      </w:rPr>
      <w:tblPr/>
      <w:tcPr>
        <w:shd w:val="clear" w:color="auto" w:fill="auto"/>
      </w:tcPr>
    </w:tblStylePr>
    <w:tblStylePr w:type="band1Vert">
      <w:rPr>
        <w:rFonts w:ascii="Arial" w:hAnsi="Arial"/>
        <w:color w:val="404040"/>
        <w:sz w:val="22"/>
      </w:rPr>
    </w:tblStylePr>
    <w:tblStylePr w:type="band2Vert">
      <w:rPr>
        <w:rFonts w:ascii="Arial" w:hAnsi="Arial"/>
        <w:color w:val="404040"/>
        <w:sz w:val="22"/>
      </w:rPr>
      <w:tblPr/>
      <w:tcPr>
        <w:shd w:val="clear" w:color="auto" w:fill="auto"/>
      </w:tcPr>
    </w:tblStylePr>
    <w:tblStylePr w:type="band1Horz">
      <w:rPr>
        <w:rFonts w:ascii="Arial" w:hAnsi="Arial"/>
        <w:color w:val="404040"/>
        <w:sz w:val="22"/>
      </w:rPr>
    </w:tblStylePr>
    <w:tblStylePr w:type="band2Horz">
      <w:rPr>
        <w:rFonts w:ascii="Arial" w:hAnsi="Arial"/>
        <w:color w:val="404040"/>
        <w:sz w:val="22"/>
      </w:rPr>
      <w:tblPr/>
      <w:tcPr>
        <w:shd w:val="clear" w:color="auto"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customStyle="1" w:styleId="15">
    <w:name w:val="Верхний колонтитул1"/>
    <w:basedOn w:val="a"/>
    <w:link w:val="af6"/>
    <w:uiPriority w:val="99"/>
    <w:unhideWhenUsed/>
    <w:pPr>
      <w:tabs>
        <w:tab w:val="center" w:pos="4677"/>
        <w:tab w:val="right" w:pos="9355"/>
      </w:tabs>
    </w:pPr>
  </w:style>
  <w:style w:type="character" w:customStyle="1" w:styleId="af6">
    <w:name w:val="Верхний колонтитул Знак"/>
    <w:basedOn w:val="a0"/>
    <w:link w:val="15"/>
    <w:uiPriority w:val="99"/>
    <w:rPr>
      <w:rFonts w:ascii="Calibri" w:eastAsia="Calibri" w:hAnsi="Calibri" w:cs="Times New Roman"/>
    </w:rPr>
  </w:style>
  <w:style w:type="paragraph" w:styleId="af7">
    <w:name w:val="List Paragraph"/>
    <w:basedOn w:val="a"/>
    <w:uiPriority w:val="34"/>
    <w:qFormat/>
    <w:pPr>
      <w:ind w:left="720"/>
    </w:pPr>
    <w:rPr>
      <w:lang w:eastAsia="ar-SA"/>
    </w:rPr>
  </w:style>
  <w:style w:type="character" w:customStyle="1" w:styleId="FontStyle21">
    <w:name w:val="Font Style21"/>
    <w:uiPriority w:val="99"/>
    <w:rPr>
      <w:rFonts w:ascii="Times New Roman" w:hAnsi="Times New Roman" w:cs="Times New Roman"/>
      <w:sz w:val="26"/>
      <w:szCs w:val="26"/>
    </w:rPr>
  </w:style>
  <w:style w:type="paragraph" w:customStyle="1" w:styleId="Style10">
    <w:name w:val="Style10"/>
    <w:basedOn w:val="a"/>
    <w:uiPriority w:val="99"/>
    <w:pPr>
      <w:widowControl w:val="0"/>
      <w:spacing w:after="0" w:line="322" w:lineRule="exact"/>
      <w:ind w:firstLine="1032"/>
      <w:jc w:val="both"/>
    </w:pPr>
    <w:rPr>
      <w:rFonts w:ascii="Times New Roman" w:eastAsia="Times New Roman" w:hAnsi="Times New Roman"/>
      <w:sz w:val="24"/>
      <w:szCs w:val="24"/>
      <w:lang w:eastAsia="ru-RU"/>
    </w:rPr>
  </w:style>
  <w:style w:type="character" w:customStyle="1" w:styleId="extended-textshort">
    <w:name w:val="extended-text__short"/>
    <w:basedOn w:val="a0"/>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ижний колонтитул1"/>
    <w:basedOn w:val="a"/>
    <w:link w:val="af8"/>
    <w:uiPriority w:val="99"/>
    <w:semiHidden/>
    <w:unhideWhenUsed/>
    <w:pPr>
      <w:tabs>
        <w:tab w:val="center" w:pos="4677"/>
        <w:tab w:val="right" w:pos="9355"/>
      </w:tabs>
      <w:spacing w:after="0" w:line="240" w:lineRule="auto"/>
    </w:pPr>
  </w:style>
  <w:style w:type="character" w:customStyle="1" w:styleId="af8">
    <w:name w:val="Нижний колонтитул Знак"/>
    <w:basedOn w:val="a0"/>
    <w:link w:val="16"/>
    <w:uiPriority w:val="99"/>
    <w:semiHidden/>
    <w:rPr>
      <w:rFonts w:ascii="Calibri" w:eastAsia="Calibri" w:hAnsi="Calibri" w:cs="Times New Roman"/>
    </w:rPr>
  </w:style>
  <w:style w:type="paragraph" w:styleId="af9">
    <w:name w:val="No Spacing"/>
    <w:uiPriority w:val="1"/>
    <w:qFormat/>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kusnecova_o</dc:creator>
  <cp:lastModifiedBy>Шаталова Юлия Олеговна</cp:lastModifiedBy>
  <cp:revision>41</cp:revision>
  <dcterms:created xsi:type="dcterms:W3CDTF">2021-07-10T12:39:00Z</dcterms:created>
  <dcterms:modified xsi:type="dcterms:W3CDTF">2025-11-30T08:54:00Z</dcterms:modified>
</cp:coreProperties>
</file>