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32" w:rsidRDefault="008E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FE8" w:rsidRDefault="00F46F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6FE8">
        <w:rPr>
          <w:rFonts w:ascii="Times New Roman" w:hAnsi="Times New Roman"/>
          <w:sz w:val="28"/>
          <w:szCs w:val="28"/>
        </w:rPr>
        <w:t>Аналитические сведения о работе с обращениями</w:t>
      </w:r>
      <w:r w:rsidR="0009730A">
        <w:rPr>
          <w:rFonts w:ascii="Times New Roman" w:hAnsi="Times New Roman"/>
          <w:sz w:val="28"/>
          <w:szCs w:val="28"/>
        </w:rPr>
        <w:t xml:space="preserve"> граждан </w:t>
      </w:r>
      <w:bookmarkStart w:id="0" w:name="_GoBack"/>
      <w:bookmarkEnd w:id="0"/>
      <w:r w:rsidRPr="00F46FE8">
        <w:rPr>
          <w:rFonts w:ascii="Times New Roman" w:hAnsi="Times New Roman"/>
          <w:sz w:val="28"/>
          <w:szCs w:val="28"/>
        </w:rPr>
        <w:t xml:space="preserve"> </w:t>
      </w:r>
    </w:p>
    <w:p w:rsidR="008E2D32" w:rsidRDefault="00D97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администрации муниципального</w:t>
      </w:r>
    </w:p>
    <w:p w:rsidR="008E2D32" w:rsidRDefault="00D971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муниципальный округ город Горячий Ключ Краснодарского края за </w:t>
      </w:r>
      <w:r w:rsidR="0009730A">
        <w:rPr>
          <w:rFonts w:ascii="Times New Roman" w:hAnsi="Times New Roman"/>
          <w:sz w:val="28"/>
          <w:szCs w:val="28"/>
        </w:rPr>
        <w:t>2025 год</w:t>
      </w:r>
    </w:p>
    <w:p w:rsidR="008E2D32" w:rsidRDefault="008E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D32" w:rsidRDefault="008E2D32" w:rsidP="005A0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D32" w:rsidRDefault="00D971D5">
      <w:pPr>
        <w:pStyle w:val="af9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Работа с обращениями граждан ведется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Законом Краснодарского края от 28.06.2007 № 1270-КЗ «О дополнительных гарантиях реализации права граждан на обращение в Краснодарском крае»</w:t>
      </w:r>
      <w:r>
        <w:rPr>
          <w:sz w:val="28"/>
        </w:rPr>
        <w:t xml:space="preserve">, Законом Краснодарского края от 23.06.2010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</w:t>
      </w:r>
      <w:r>
        <w:rPr>
          <w:sz w:val="28"/>
          <w:szCs w:val="28"/>
        </w:rPr>
        <w:t>Порядком работы с обращениями граждан в администрации муниципального образования город Горячий Ключ (утвержден постановлением администрации муниципального образования муниципальный округ город Горячий Ключ Краснодарского края от 08.07.2025 №1314</w:t>
      </w:r>
      <w:r>
        <w:rPr>
          <w:color w:val="000000"/>
          <w:sz w:val="28"/>
          <w:szCs w:val="28"/>
        </w:rPr>
        <w:t>), методическими рекомендациями Администрации Президента Российской Федерации.</w:t>
      </w:r>
    </w:p>
    <w:p w:rsidR="0009730A" w:rsidRP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В администрацию города Горячий Ключ в 2025 году поступило 2437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письменных обращений, что на 5,57% больше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сравнении с 2024 годом (1994 письменных обращений), в том числе поступило из администрации Краснодарского края 231 обращение, что на 18 % меньше, чем в 2024 году (372 обращений). </w:t>
      </w:r>
    </w:p>
    <w:p w:rsidR="0009730A" w:rsidRP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Большое внимание уделяется сообщениям, поступившим по телефону «горячей линии». Суть сообщений оперативно передается соисполнителям для разрешения проблем в максимально сжатые сроки. В 2025 году по телефону «горя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чей линии» принято 496 сообщений</w:t>
      </w: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, что больше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в сравнении с прошлым годом (471 сообщений в 2024 году) на 5,02%.</w:t>
      </w:r>
    </w:p>
    <w:p w:rsid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Количество сообщений, поступивших на многоканальный телефон администрации Краснодарского края, в сравнении с 2024 годом имеет одинаковую цифру –143 соо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бщения. </w:t>
      </w:r>
    </w:p>
    <w:p w:rsid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 49 сообщений</w:t>
      </w:r>
      <w:r w:rsidRPr="0009730A">
        <w:rPr>
          <w:rFonts w:ascii="Times New Roman" w:eastAsia="Times New Roman" w:hAnsi="Times New Roman"/>
          <w:sz w:val="28"/>
          <w:szCs w:val="28"/>
          <w:lang w:eastAsia="ru-RU"/>
        </w:rPr>
        <w:t>, поступившие в рамках подготовки «Прямой линии» Губернатора Краснодарского края, в аналогичный период 66 сообщений.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6FE8" w:rsidRPr="00F46FE8" w:rsidRDefault="00F46FE8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F46FE8">
        <w:rPr>
          <w:rFonts w:ascii="Times New Roman" w:eastAsia="Times New Roman" w:hAnsi="Times New Roman"/>
          <w:sz w:val="28"/>
          <w:szCs w:val="28"/>
        </w:rPr>
        <w:t xml:space="preserve">Личный прием граждан организован и осуществляется в соответствии со ст. 13 Федерального закона от 2 мая 2006 года № 59-ФЗ «О порядке рассмотрения обращений граждан в Российской Федерации». </w:t>
      </w:r>
    </w:p>
    <w:p w:rsidR="00F46FE8" w:rsidRPr="00F46FE8" w:rsidRDefault="00F46FE8" w:rsidP="00F46F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F46FE8">
        <w:rPr>
          <w:rFonts w:ascii="Times New Roman" w:eastAsia="Times New Roman" w:hAnsi="Times New Roman"/>
          <w:sz w:val="28"/>
          <w:szCs w:val="28"/>
        </w:rPr>
        <w:t xml:space="preserve">Главой </w:t>
      </w:r>
      <w:r>
        <w:rPr>
          <w:rFonts w:ascii="Times New Roman" w:eastAsia="Times New Roman" w:hAnsi="Times New Roman"/>
          <w:sz w:val="28"/>
          <w:szCs w:val="28"/>
        </w:rPr>
        <w:t>города</w:t>
      </w:r>
      <w:r w:rsidRPr="00F46FE8">
        <w:rPr>
          <w:rFonts w:ascii="Times New Roman" w:eastAsia="Times New Roman" w:hAnsi="Times New Roman"/>
          <w:sz w:val="28"/>
          <w:szCs w:val="28"/>
        </w:rPr>
        <w:t xml:space="preserve"> и его заместителями ведется личный, в том числе выездной прием граждан на территориях сельских населе</w:t>
      </w:r>
      <w:r>
        <w:rPr>
          <w:rFonts w:ascii="Times New Roman" w:eastAsia="Times New Roman" w:hAnsi="Times New Roman"/>
          <w:sz w:val="28"/>
          <w:szCs w:val="28"/>
        </w:rPr>
        <w:t xml:space="preserve">нных пунктов. </w:t>
      </w:r>
    </w:p>
    <w:p w:rsidR="0009730A" w:rsidRDefault="0009730A" w:rsidP="00F46FE8">
      <w:pPr>
        <w:pStyle w:val="af9"/>
        <w:ind w:firstLine="709"/>
        <w:jc w:val="both"/>
        <w:rPr>
          <w:bCs/>
          <w:sz w:val="28"/>
          <w:szCs w:val="28"/>
        </w:rPr>
      </w:pPr>
      <w:r w:rsidRPr="0009730A">
        <w:rPr>
          <w:bCs/>
          <w:sz w:val="28"/>
          <w:szCs w:val="28"/>
        </w:rPr>
        <w:t>В 2024 и в 2025 году руководством администрации муниципального образования на личных приемах принято 524 человека, в том числе главой муниципального образования 223 гражданина.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Тематическая структура обращений граждан в целом из года в год остается стабильной, отмечаются определенные изменения, обусловленные общими социальными и экономическими процессами, произошедшими на </w:t>
      </w:r>
      <w:r w:rsidRPr="0009730A">
        <w:rPr>
          <w:color w:val="000000" w:themeColor="text1"/>
          <w:sz w:val="28"/>
          <w:szCs w:val="28"/>
        </w:rPr>
        <w:lastRenderedPageBreak/>
        <w:t xml:space="preserve">территории муниципалитета природными явлениями. Исходя из анализа количества и характера вопросов, содержащихся в обращениях граждан, поступивших в администрацию </w:t>
      </w:r>
      <w:r>
        <w:rPr>
          <w:color w:val="000000" w:themeColor="text1"/>
          <w:sz w:val="28"/>
          <w:szCs w:val="28"/>
        </w:rPr>
        <w:t xml:space="preserve">города </w:t>
      </w:r>
      <w:r w:rsidRPr="0009730A">
        <w:rPr>
          <w:color w:val="000000" w:themeColor="text1"/>
          <w:sz w:val="28"/>
          <w:szCs w:val="28"/>
        </w:rPr>
        <w:t>Горячий Ключ, определяется перечень мер, направленных на устранение причин, способствующих повышенной активности обращений.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Неизменно в муниципалитете остается достаточно высоким количество обращений граждан по вопросам коммунального хозяйства – 603 обращений, или 30% от общего количества обраще</w:t>
      </w:r>
      <w:r>
        <w:rPr>
          <w:color w:val="000000" w:themeColor="text1"/>
          <w:sz w:val="28"/>
          <w:szCs w:val="28"/>
        </w:rPr>
        <w:t>ний (в 2024 году – 598 обращений</w:t>
      </w:r>
      <w:r w:rsidRPr="0009730A">
        <w:rPr>
          <w:color w:val="000000" w:themeColor="text1"/>
          <w:sz w:val="28"/>
          <w:szCs w:val="28"/>
        </w:rPr>
        <w:t>).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Один из вопросов - уборка мусора, в том числе и растительного происхождения, деятельности регионального оператора по обращению с ТКО АО </w:t>
      </w:r>
      <w:r>
        <w:rPr>
          <w:color w:val="000000" w:themeColor="text1"/>
          <w:sz w:val="28"/>
          <w:szCs w:val="28"/>
        </w:rPr>
        <w:t>«Крайжилкомресурс» (65 обращений</w:t>
      </w:r>
      <w:r w:rsidRPr="0009730A">
        <w:rPr>
          <w:color w:val="000000" w:themeColor="text1"/>
          <w:sz w:val="28"/>
          <w:szCs w:val="28"/>
        </w:rPr>
        <w:t>, или 2,78% от общего количества поступивших обращений; в 2024 году – 72 обращения).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В целях недопущения захламления территории муниципальным бюджетным учреждением «Централизованная ремонтно-эксплуатационная служба» организован бесплатный вывоз веток по заявкам жителей с конкретного адреса. 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Число вопросов касающиеся уличного освещения составило 118 обраще</w:t>
      </w:r>
      <w:r>
        <w:rPr>
          <w:color w:val="000000" w:themeColor="text1"/>
          <w:sz w:val="28"/>
          <w:szCs w:val="28"/>
        </w:rPr>
        <w:t>ний</w:t>
      </w:r>
      <w:r w:rsidRPr="0009730A">
        <w:rPr>
          <w:color w:val="000000" w:themeColor="text1"/>
          <w:sz w:val="28"/>
          <w:szCs w:val="28"/>
        </w:rPr>
        <w:t xml:space="preserve"> в 2025 году), что на 11% больше в сравнении с предыдущим годом (82 обращений). 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Немаловажные вопросы касаются тематики «Транспорт и дорожное хозяйство» 205 обращений, или 10,18% от общего количества обращений, что выше уровня 2024 года (203 обращения). Это, прежде всего вопросы благоустройства и ремонта, подъездных дорог; вопросы установки дорожных знаков и разметки; транспортное обслуживание населения, пассажирские перевозки.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В муниципальном образовании город Горячий Ключ обслуживается 8 городских и 12 пригородных муниципальных автобусных маршрутов, где занято 44 основных и 11 резервных транспортных средств. Протяженность автобусной маршрутной сети составляет 532,4 км.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Дорожная сеть автомобильных дорог общего пользования местного значения в муниципальном образовании город Горячий Ключ составляет более 570 км, в том числе 444 км в сельских округах и 127 км в городе Горячий Ключ, в асфальтобетонном покрытии – порядка 150 км. В нормативном состоянии находится менее 30 % сети. Так, в первую очередь ремонта требуют улицы в районе курортной зоны, а также основные магистральные улицы, по которым проходят основные потоки транспорта, в том числе общественного, их протяженность составляет порядка 25 км. 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В 2022 году учитывая пожелания граждан началась реализация мероприятия по благоустройству территории по ул. Ленина» в рамках реализации муниципальной программы муниципального образования город Горячий Ключ «Формирование современной городской среды», финансируемые за счет средств краевого и местного бюджетов.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Благоустройство общественной территории «Бульвар по ул. Ленина» (1 этап) обеспечило обновление пешеходных зон (тротуаров), создание </w:t>
      </w:r>
      <w:r w:rsidRPr="0009730A">
        <w:rPr>
          <w:color w:val="000000" w:themeColor="text1"/>
          <w:sz w:val="28"/>
          <w:szCs w:val="28"/>
        </w:rPr>
        <w:lastRenderedPageBreak/>
        <w:t>велодорожек, устройство малых архитектурных форм (скамьи, урны и т.д.), формирование современных объектов озеленения с посадкой деревьев, кустарников.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 xml:space="preserve">В 2023 году реализовался второй этап благоустройства бульвара по улице Ленина. По обеим сторонам благоустроили порядка 1 км территории. Заменены твердые покрытия, оборудовано уличное освещение, установлены малые архитектурные формы и проведено озеленение территории. Теперь, с учетом первого этапа и набережной озера Круглого, общая площадь благоустройства по нацпроекту составляет более 67.000 м2 стремя километрами пешеходных и велосипедных дорожек. 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В 2024 году работы продолжались. Ранее проектом предусматривалось благоустройство зоны от СОШ №2 до пересечения с ул. Революции. Позже решили внести корректировки. Конечную точку реконструкции «Сдвинули» - до городского ЗАГСа. Ранее данная территория выступала в качестве самостоятельного объекта в рамках рейтингового голосования.</w:t>
      </w:r>
    </w:p>
    <w:p w:rsidR="0009730A" w:rsidRPr="0009730A" w:rsidRDefault="0009730A" w:rsidP="0009730A">
      <w:pPr>
        <w:pStyle w:val="af9"/>
        <w:ind w:firstLine="709"/>
        <w:jc w:val="both"/>
        <w:rPr>
          <w:color w:val="000000" w:themeColor="text1"/>
          <w:sz w:val="28"/>
          <w:szCs w:val="28"/>
        </w:rPr>
      </w:pPr>
      <w:r w:rsidRPr="0009730A">
        <w:rPr>
          <w:color w:val="000000" w:themeColor="text1"/>
          <w:sz w:val="28"/>
          <w:szCs w:val="28"/>
        </w:rPr>
        <w:t>В 2025 году завершилась реконструкция территории у ЗАГСа, построена новая прогулочная зона вдоль администрации до ул. Ленина, 193.</w:t>
      </w:r>
    </w:p>
    <w:p w:rsidR="008E2D32" w:rsidRDefault="00F46FE8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FE8">
        <w:rPr>
          <w:rStyle w:val="FontStyle21"/>
          <w:rFonts w:eastAsia="Arial Unicode MS"/>
          <w:sz w:val="28"/>
          <w:szCs w:val="28"/>
          <w:lang w:eastAsia="ar-SA"/>
        </w:rPr>
        <w:t xml:space="preserve">Администрацией города проводится работа по взаимодействию с общественностью и средствами массовой информации. </w:t>
      </w:r>
      <w:r w:rsidR="00D971D5">
        <w:rPr>
          <w:rFonts w:ascii="Times New Roman" w:hAnsi="Times New Roman"/>
          <w:sz w:val="28"/>
          <w:szCs w:val="28"/>
        </w:rPr>
        <w:t>Администрация использует любые возможные каналы коммуникаций для общения с населением.</w:t>
      </w:r>
    </w:p>
    <w:p w:rsidR="0009730A" w:rsidRP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t>Администрация города представлена официальными аккаунтами во всех социальных сетях: Телеграм (количество подписчиков в официальном аккаунте – 5,833), ВКонтакте (количество подписчиков в официальном аккаунте -5,1), пользуются большой популярностью и аккаунты главы муниципального образования: в Телеграм - 2488 и ВКонтакте - 944.</w:t>
      </w:r>
    </w:p>
    <w:p w:rsidR="0009730A" w:rsidRP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t xml:space="preserve">В условиях развития современных технологий и повсеместной интеграции государственных и муниципальных органов власти в социальные интернет-сообщества, появилось новое направление деятельности – работа с обращениями граждан в интернете. Кроме уже ставших традиционными ответов на жалобы жителей в социальных сетях, ведется работа в программе «Инцидент менеджмент» - крупнейшей автоматизированной системе мониторинга СОЦМЕДИА и СМИ в стране «Медиалогия». Основная масса вопросов, на которые приходится отвечать в социальных сетях, касается коммунального хозяйства. </w:t>
      </w:r>
    </w:p>
    <w:p w:rsidR="0009730A" w:rsidRP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t>С начала 2025 года ответы даны на 4998 обращений (4896 обращений в 2024 году). Чаще всего люди обращаются с проблемой касающейся тематики «Коммунальное хозяйство».</w:t>
      </w:r>
    </w:p>
    <w:p w:rsidR="0009730A" w:rsidRP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t xml:space="preserve">Чаще всего ответ пресс-службы не сводится лишь к тому, чтобы принять жалобу и передать информацию в управление жизнеобеспечения городского хозяйства администрации муниципального образования город Горячий Ключ. Жалобы отрабатываются, после чего заявителям в соцсетях предоставляется подробный ответ на обращение. </w:t>
      </w:r>
    </w:p>
    <w:p w:rsid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lastRenderedPageBreak/>
        <w:t xml:space="preserve">Муниципалитетом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акже ведется работа с сообщениями и обращениями граждан с использованием подсистемы «Единый портал государственных и муниципальных услуг (функций)» платформы обратной связи «Госуслуги. Решаем вместе» в Краснодарском крае. Основная масса вопросов, на которые отвечают специалисты касаются коммунального хозяйства. </w:t>
      </w:r>
    </w:p>
    <w:p w:rsidR="0009730A" w:rsidRDefault="0009730A" w:rsidP="0009730A">
      <w:pPr>
        <w:tabs>
          <w:tab w:val="righ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30A">
        <w:rPr>
          <w:rFonts w:ascii="Times New Roman" w:hAnsi="Times New Roman"/>
          <w:sz w:val="28"/>
          <w:szCs w:val="28"/>
        </w:rPr>
        <w:t>За отчетный период поступило 905 сообщений (из них 591 обращений) (в 2024 году 548 сообщений, из них 231 обращение).</w:t>
      </w:r>
    </w:p>
    <w:p w:rsidR="0009730A" w:rsidRP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730A">
        <w:rPr>
          <w:rFonts w:ascii="Times New Roman" w:eastAsia="Times New Roman" w:hAnsi="Times New Roman"/>
          <w:sz w:val="28"/>
          <w:szCs w:val="28"/>
        </w:rPr>
        <w:t>В текущем году в целях снижения социальной напряженности и оценки реального состояния дел, оперативного решения проблемных вопросов жителей сельских округов проведено 5 выездных личных приемов в сельских округах.   Ряд вопросов, поднятых жителями, удалось разрешить на месте, представив разъяснения и консультации; по вопросам, требующим дополнительного разбирательства, даны соответствующие поручения. Практика проведения выездных приемов будет продолжена.</w:t>
      </w:r>
    </w:p>
    <w:p w:rsidR="0009730A" w:rsidRP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730A">
        <w:rPr>
          <w:rFonts w:ascii="Times New Roman" w:eastAsia="Times New Roman" w:hAnsi="Times New Roman"/>
          <w:sz w:val="28"/>
          <w:szCs w:val="28"/>
        </w:rPr>
        <w:t xml:space="preserve">Усилен контроль за соблюдением порядка рассмотрения обращений граждан. Отделом по работе с обращениями граждан осуществляется проверка хода рассмотрения обращений, проводится анализ рассмотренных обращений, после чего главе города Горячий Ключ предоставляются сведения о допущенных при рассмотрении обращений нарушениях. </w:t>
      </w:r>
    </w:p>
    <w:p w:rsidR="0009730A" w:rsidRPr="0009730A" w:rsidRDefault="0009730A" w:rsidP="000973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09730A">
        <w:rPr>
          <w:rFonts w:ascii="Times New Roman" w:eastAsia="Times New Roman" w:hAnsi="Times New Roman"/>
          <w:sz w:val="28"/>
          <w:szCs w:val="28"/>
        </w:rPr>
        <w:t xml:space="preserve">В 2025 году по результатам такого ведомственного контроля дисциплинарные взыскания за нарушение порядка рассмотрения 12 обращений, применены в отношении 8 должностных лиц, в 2024 году 24 обращений, применены взыскания к 17 должностным лицам. </w:t>
      </w:r>
    </w:p>
    <w:p w:rsidR="008E2D32" w:rsidRDefault="008E2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2D32" w:rsidRDefault="008E2D32">
      <w:pPr>
        <w:pStyle w:val="Style10"/>
        <w:widowControl/>
        <w:tabs>
          <w:tab w:val="left" w:pos="883"/>
          <w:tab w:val="right" w:pos="1134"/>
        </w:tabs>
        <w:spacing w:line="240" w:lineRule="auto"/>
        <w:ind w:firstLine="0"/>
        <w:rPr>
          <w:rStyle w:val="FontStyle21"/>
          <w:rFonts w:eastAsia="Arial Unicode MS"/>
          <w:sz w:val="28"/>
          <w:szCs w:val="28"/>
        </w:rPr>
      </w:pPr>
    </w:p>
    <w:p w:rsidR="00F46FE8" w:rsidRDefault="00F46FE8">
      <w:pPr>
        <w:tabs>
          <w:tab w:val="right" w:pos="1134"/>
          <w:tab w:val="left" w:pos="127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Начальник отдела по </w:t>
      </w:r>
    </w:p>
    <w:p w:rsidR="008E2D32" w:rsidRPr="00D971D5" w:rsidRDefault="00F46FE8">
      <w:pPr>
        <w:tabs>
          <w:tab w:val="right" w:pos="1134"/>
          <w:tab w:val="left" w:pos="1276"/>
        </w:tabs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работе с обращениями граждан                                                        Ю.О. Шаталова</w:t>
      </w:r>
    </w:p>
    <w:sectPr w:rsidR="008E2D32" w:rsidRPr="00D971D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32" w:rsidRDefault="00D971D5">
      <w:pPr>
        <w:spacing w:after="0" w:line="240" w:lineRule="auto"/>
      </w:pPr>
      <w:r>
        <w:separator/>
      </w:r>
    </w:p>
  </w:endnote>
  <w:endnote w:type="continuationSeparator" w:id="0">
    <w:p w:rsidR="008E2D32" w:rsidRDefault="00D9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32" w:rsidRDefault="00D971D5">
      <w:pPr>
        <w:spacing w:after="0" w:line="240" w:lineRule="auto"/>
      </w:pPr>
      <w:r>
        <w:separator/>
      </w:r>
    </w:p>
  </w:footnote>
  <w:footnote w:type="continuationSeparator" w:id="0">
    <w:p w:rsidR="008E2D32" w:rsidRDefault="00D9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D32" w:rsidRDefault="00D971D5">
    <w:pPr>
      <w:pStyle w:val="15"/>
      <w:jc w:val="center"/>
    </w:pPr>
    <w:r>
      <w:fldChar w:fldCharType="begin"/>
    </w:r>
    <w:r>
      <w:instrText>PAGE \* MERGEFORMAT</w:instrText>
    </w:r>
    <w:r>
      <w:fldChar w:fldCharType="separate"/>
    </w:r>
    <w:r w:rsidR="0009730A">
      <w:rPr>
        <w:noProof/>
      </w:rPr>
      <w:t>3</w:t>
    </w:r>
    <w:r>
      <w:fldChar w:fldCharType="end"/>
    </w:r>
  </w:p>
  <w:p w:rsidR="008E2D32" w:rsidRDefault="008E2D32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695E"/>
    <w:multiLevelType w:val="hybridMultilevel"/>
    <w:tmpl w:val="F3EE86F2"/>
    <w:lvl w:ilvl="0" w:tplc="9B64D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6298C">
      <w:start w:val="1"/>
      <w:numFmt w:val="lowerLetter"/>
      <w:lvlText w:val="%2."/>
      <w:lvlJc w:val="left"/>
      <w:pPr>
        <w:ind w:left="1440" w:hanging="360"/>
      </w:pPr>
    </w:lvl>
    <w:lvl w:ilvl="2" w:tplc="5CCC5378">
      <w:start w:val="1"/>
      <w:numFmt w:val="lowerRoman"/>
      <w:lvlText w:val="%3."/>
      <w:lvlJc w:val="right"/>
      <w:pPr>
        <w:ind w:left="2160" w:hanging="180"/>
      </w:pPr>
    </w:lvl>
    <w:lvl w:ilvl="3" w:tplc="B39CDFC6">
      <w:start w:val="1"/>
      <w:numFmt w:val="decimal"/>
      <w:lvlText w:val="%4."/>
      <w:lvlJc w:val="left"/>
      <w:pPr>
        <w:ind w:left="2880" w:hanging="360"/>
      </w:pPr>
    </w:lvl>
    <w:lvl w:ilvl="4" w:tplc="4C42F5EC">
      <w:start w:val="1"/>
      <w:numFmt w:val="lowerLetter"/>
      <w:lvlText w:val="%5."/>
      <w:lvlJc w:val="left"/>
      <w:pPr>
        <w:ind w:left="3600" w:hanging="360"/>
      </w:pPr>
    </w:lvl>
    <w:lvl w:ilvl="5" w:tplc="DFAA2D48">
      <w:start w:val="1"/>
      <w:numFmt w:val="lowerRoman"/>
      <w:lvlText w:val="%6."/>
      <w:lvlJc w:val="right"/>
      <w:pPr>
        <w:ind w:left="4320" w:hanging="180"/>
      </w:pPr>
    </w:lvl>
    <w:lvl w:ilvl="6" w:tplc="780CC67C">
      <w:start w:val="1"/>
      <w:numFmt w:val="decimal"/>
      <w:lvlText w:val="%7."/>
      <w:lvlJc w:val="left"/>
      <w:pPr>
        <w:ind w:left="5040" w:hanging="360"/>
      </w:pPr>
    </w:lvl>
    <w:lvl w:ilvl="7" w:tplc="03F29682">
      <w:start w:val="1"/>
      <w:numFmt w:val="lowerLetter"/>
      <w:lvlText w:val="%8."/>
      <w:lvlJc w:val="left"/>
      <w:pPr>
        <w:ind w:left="5760" w:hanging="360"/>
      </w:pPr>
    </w:lvl>
    <w:lvl w:ilvl="8" w:tplc="80A6F8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040A9"/>
    <w:multiLevelType w:val="hybridMultilevel"/>
    <w:tmpl w:val="8DD24956"/>
    <w:lvl w:ilvl="0" w:tplc="CE5AD3F0">
      <w:start w:val="4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4BAE9FA4">
      <w:start w:val="1"/>
      <w:numFmt w:val="lowerLetter"/>
      <w:lvlText w:val="%2."/>
      <w:lvlJc w:val="left"/>
      <w:pPr>
        <w:ind w:left="2112" w:hanging="360"/>
      </w:pPr>
    </w:lvl>
    <w:lvl w:ilvl="2" w:tplc="DD6C32A0">
      <w:start w:val="1"/>
      <w:numFmt w:val="lowerRoman"/>
      <w:lvlText w:val="%3."/>
      <w:lvlJc w:val="right"/>
      <w:pPr>
        <w:ind w:left="2832" w:hanging="180"/>
      </w:pPr>
    </w:lvl>
    <w:lvl w:ilvl="3" w:tplc="9B74501E">
      <w:start w:val="1"/>
      <w:numFmt w:val="decimal"/>
      <w:lvlText w:val="%4."/>
      <w:lvlJc w:val="left"/>
      <w:pPr>
        <w:ind w:left="3552" w:hanging="360"/>
      </w:pPr>
    </w:lvl>
    <w:lvl w:ilvl="4" w:tplc="0B7AC1CA">
      <w:start w:val="1"/>
      <w:numFmt w:val="lowerLetter"/>
      <w:lvlText w:val="%5."/>
      <w:lvlJc w:val="left"/>
      <w:pPr>
        <w:ind w:left="4272" w:hanging="360"/>
      </w:pPr>
    </w:lvl>
    <w:lvl w:ilvl="5" w:tplc="14D825B0">
      <w:start w:val="1"/>
      <w:numFmt w:val="lowerRoman"/>
      <w:lvlText w:val="%6."/>
      <w:lvlJc w:val="right"/>
      <w:pPr>
        <w:ind w:left="4992" w:hanging="180"/>
      </w:pPr>
    </w:lvl>
    <w:lvl w:ilvl="6" w:tplc="529219D4">
      <w:start w:val="1"/>
      <w:numFmt w:val="decimal"/>
      <w:lvlText w:val="%7."/>
      <w:lvlJc w:val="left"/>
      <w:pPr>
        <w:ind w:left="5712" w:hanging="360"/>
      </w:pPr>
    </w:lvl>
    <w:lvl w:ilvl="7" w:tplc="4320807E">
      <w:start w:val="1"/>
      <w:numFmt w:val="lowerLetter"/>
      <w:lvlText w:val="%8."/>
      <w:lvlJc w:val="left"/>
      <w:pPr>
        <w:ind w:left="6432" w:hanging="360"/>
      </w:pPr>
    </w:lvl>
    <w:lvl w:ilvl="8" w:tplc="CD2CCB3C">
      <w:start w:val="1"/>
      <w:numFmt w:val="lowerRoman"/>
      <w:lvlText w:val="%9."/>
      <w:lvlJc w:val="right"/>
      <w:pPr>
        <w:ind w:left="71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32"/>
    <w:rsid w:val="0009730A"/>
    <w:rsid w:val="0033047F"/>
    <w:rsid w:val="005A0103"/>
    <w:rsid w:val="006859EE"/>
    <w:rsid w:val="008E2D32"/>
    <w:rsid w:val="00A76EE5"/>
    <w:rsid w:val="00AF26DA"/>
    <w:rsid w:val="00B1255C"/>
    <w:rsid w:val="00D971D5"/>
    <w:rsid w:val="00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42FA"/>
  <w15:docId w15:val="{31BE1C7E-9F58-4AE8-8509-875C75E8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4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5">
    <w:name w:val="Верх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15"/>
    <w:uiPriority w:val="99"/>
    <w:rPr>
      <w:rFonts w:ascii="Calibri" w:eastAsia="Calibri" w:hAnsi="Calibri" w:cs="Times New Roman"/>
    </w:rPr>
  </w:style>
  <w:style w:type="paragraph" w:styleId="af7">
    <w:name w:val="List Paragraph"/>
    <w:basedOn w:val="a"/>
    <w:uiPriority w:val="34"/>
    <w:qFormat/>
    <w:pPr>
      <w:ind w:left="720"/>
    </w:pPr>
    <w:rPr>
      <w:lang w:eastAsia="ar-SA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pPr>
      <w:widowControl w:val="0"/>
      <w:spacing w:after="0" w:line="322" w:lineRule="exact"/>
      <w:ind w:firstLine="10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Ниж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6"/>
    <w:uiPriority w:val="99"/>
    <w:semiHidden/>
    <w:rPr>
      <w:rFonts w:ascii="Calibri" w:eastAsia="Calibri" w:hAnsi="Calibri" w:cs="Times New Roman"/>
    </w:rPr>
  </w:style>
  <w:style w:type="paragraph" w:styleId="af9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kusnecova_o</dc:creator>
  <cp:lastModifiedBy>Шаталова Юлия Олеговна</cp:lastModifiedBy>
  <cp:revision>42</cp:revision>
  <dcterms:created xsi:type="dcterms:W3CDTF">2021-07-10T12:39:00Z</dcterms:created>
  <dcterms:modified xsi:type="dcterms:W3CDTF">2026-02-13T05:50:00Z</dcterms:modified>
</cp:coreProperties>
</file>