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 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9"/>
        <w:jc w:val="center"/>
        <w:spacing w:after="0" w:afterAutospacing="0" w:before="0" w:beforeAutospacing="0"/>
        <w:rPr>
          <w:sz w:val="28"/>
          <w:szCs w:val="28"/>
        </w:rPr>
      </w:pPr>
      <w:r>
        <w:rPr>
          <w:sz w:val="28"/>
          <w:szCs w:val="28"/>
        </w:rPr>
        <w:t xml:space="preserve">Аналитические сведения</w:t>
      </w:r>
      <w:r>
        <w:t xml:space="preserve"> </w:t>
      </w:r>
      <w:r>
        <w:rPr>
          <w:sz w:val="28"/>
          <w:szCs w:val="28"/>
        </w:rPr>
        <w:t xml:space="preserve">о работе с обращениями граждан </w:t>
      </w:r>
    </w:p>
    <w:p>
      <w:pPr>
        <w:pStyle w:val="629"/>
        <w:jc w:val="center"/>
        <w:spacing w:after="0" w:afterAutospacing="0" w:before="0" w:beforeAutospacing="0"/>
        <w:rPr>
          <w:sz w:val="28"/>
          <w:szCs w:val="28"/>
        </w:rPr>
      </w:pP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 городе Горячий Ключ </w:t>
      </w:r>
    </w:p>
    <w:p>
      <w:pPr>
        <w:pStyle w:val="629"/>
        <w:jc w:val="center"/>
        <w:spacing w:after="0" w:afterAutospacing="0" w:before="0" w:beforeAutospacing="0"/>
        <w:rPr>
          <w:sz w:val="28"/>
          <w:szCs w:val="28"/>
        </w:rPr>
      </w:pPr>
      <w:r>
        <w:rPr>
          <w:sz w:val="28"/>
          <w:szCs w:val="28"/>
        </w:rPr>
        <w:t xml:space="preserve">в 2024</w:t>
      </w:r>
      <w:r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у</w:t>
      </w:r>
    </w:p>
    <w:p>
      <w:pPr>
        <w:pStyle w:val="629"/>
        <w:jc w:val="center"/>
        <w:spacing w:after="0" w:afterAutospacing="0" w:before="0" w:beforeAutospac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ind w:firstLine="851"/>
        <w:jc w:val="both"/>
        <w:spacing w:lineRule="auto" w:line="240" w:after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Работа с обращениями граждан ведется в соответствии </w:t>
      </w:r>
      <w:r>
        <w:rPr>
          <w:rFonts w:ascii="Times New Roman" w:hAnsi="Times New Roman"/>
          <w:sz w:val="28"/>
          <w:szCs w:val="28"/>
        </w:rPr>
        <w:t xml:space="preserve">с Конституцией Российской Федерации, Федеральным законом от 02.05.2006 № 59-ФЗ «О порядке рассмотрения обращений граждан Российской Федерации», Законом Краснодарского края от 28.06.2007 № 1270-КЗ «О дополнительных гарантиях реализации права граждан на обра</w:t>
      </w:r>
      <w:r>
        <w:rPr>
          <w:rFonts w:ascii="Times New Roman" w:hAnsi="Times New Roman"/>
          <w:sz w:val="28"/>
          <w:szCs w:val="28"/>
        </w:rPr>
        <w:t xml:space="preserve">щение в Краснодарском крае», Порядком работы с обращениями граждан в администрации муниципального образования город Горячий Ключ (утвержден постановлением администрации муниципального образования город Горячий Ключ Краснодарского края от 25.12.2017 № 2814</w:t>
      </w:r>
      <w:r>
        <w:rPr>
          <w:rFonts w:ascii="Times New Roman" w:hAnsi="Times New Roman"/>
          <w:color w:val="000000"/>
          <w:sz w:val="28"/>
          <w:szCs w:val="28"/>
        </w:rPr>
        <w:t xml:space="preserve">), методическими рекомендациями Администрации Президента Российской Федерации. </w:t>
      </w:r>
    </w:p>
    <w:p>
      <w:pPr>
        <w:pStyle w:val="466"/>
        <w:ind w:firstLine="709"/>
        <w:jc w:val="both"/>
        <w:rPr>
          <w:rFonts w:ascii="Times New Roman" w:hAnsi="Times New Roman" w:cs="Times New Roman" w:eastAsia="Times New Roman"/>
          <w:sz w:val="28"/>
          <w:szCs w:val="28"/>
          <w:highlight w:val="white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В администрацию города Горячий Ключ в 2024 году поступило 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1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994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 письменных обращен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ий, что на 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4% меньше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в сравнении с 2023 годом (2086 письменных обращений)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, в том числе поступило из администрации Краснодар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ского края 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3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72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 обращений, что на 36,9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5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% меньше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,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 чем в 2023 году (590 обращений). </w:t>
      </w:r>
    </w:p>
    <w:p>
      <w:pPr>
        <w:pStyle w:val="466"/>
        <w:ind w:firstLine="709"/>
        <w:jc w:val="both"/>
        <w:rPr>
          <w:rFonts w:ascii="Times New Roman" w:hAnsi="Times New Roman" w:cs="Times New Roman" w:eastAsia="Times New Roman"/>
          <w:sz w:val="28"/>
        </w:rPr>
      </w:pPr>
      <w:r>
        <w:rPr>
          <w:rFonts w:ascii="Times New Roman" w:hAnsi="Times New Roman" w:cs="Times New Roman" w:eastAsia="Times New Roman"/>
          <w:sz w:val="28"/>
          <w:szCs w:val="28"/>
          <w:highlight w:val="white"/>
        </w:rPr>
      </w:r>
      <w:r>
        <w:rPr>
          <w:rFonts w:ascii="Times New Roman" w:hAnsi="Times New Roman"/>
          <w:sz w:val="28"/>
          <w:szCs w:val="28"/>
        </w:rPr>
        <w:t xml:space="preserve">Для поддержания обратной связи с населением администрацией используется такая форма работы как комиссионное рассмотрение обращений с выездом на место, личной встречей с заявителями, проведением выездных приемов в сельские округа.</w:t>
      </w:r>
    </w:p>
    <w:p>
      <w:pPr>
        <w:pStyle w:val="630"/>
        <w:ind w:firstLine="567"/>
        <w:spacing w:lineRule="auto" w:line="240"/>
        <w:widowControl/>
        <w:tabs>
          <w:tab w:val="right" w:pos="1134" w:leader="none"/>
        </w:tabs>
      </w:pPr>
      <w:r>
        <w:rPr>
          <w:sz w:val="28"/>
          <w:szCs w:val="28"/>
        </w:rPr>
        <w:t xml:space="preserve">Эффективность рассмотрения </w:t>
      </w:r>
      <w:r>
        <w:rPr>
          <w:sz w:val="28"/>
          <w:szCs w:val="28"/>
        </w:rPr>
        <w:t xml:space="preserve">увеличивается за счет </w:t>
      </w:r>
      <w:r>
        <w:rPr>
          <w:sz w:val="28"/>
          <w:szCs w:val="28"/>
        </w:rPr>
        <w:t xml:space="preserve">включения в</w:t>
      </w:r>
      <w:r>
        <w:rPr>
          <w:sz w:val="28"/>
          <w:szCs w:val="28"/>
        </w:rPr>
        <w:t xml:space="preserve"> состав </w:t>
      </w:r>
      <w:r>
        <w:rPr>
          <w:sz w:val="28"/>
          <w:szCs w:val="28"/>
        </w:rPr>
        <w:t xml:space="preserve">комиссий сотруд</w:t>
      </w:r>
      <w:r>
        <w:rPr>
          <w:sz w:val="28"/>
          <w:szCs w:val="28"/>
        </w:rPr>
        <w:t xml:space="preserve">ников</w:t>
      </w:r>
      <w:r>
        <w:rPr>
          <w:sz w:val="28"/>
          <w:szCs w:val="28"/>
        </w:rPr>
        <w:t xml:space="preserve"> различных </w:t>
      </w:r>
      <w:r>
        <w:rPr>
          <w:sz w:val="28"/>
          <w:szCs w:val="28"/>
        </w:rPr>
        <w:t xml:space="preserve">структурных подразделений администрации</w:t>
      </w:r>
      <w:r>
        <w:rPr>
          <w:sz w:val="28"/>
          <w:szCs w:val="28"/>
        </w:rPr>
        <w:t xml:space="preserve">, муниципальных предпр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ятий</w:t>
      </w:r>
      <w:r>
        <w:rPr>
          <w:sz w:val="28"/>
          <w:szCs w:val="28"/>
        </w:rPr>
        <w:t xml:space="preserve"> и учреждений</w:t>
      </w:r>
      <w:r>
        <w:rPr>
          <w:sz w:val="28"/>
          <w:szCs w:val="28"/>
        </w:rPr>
        <w:t xml:space="preserve">, общественность,</w:t>
      </w:r>
      <w:r>
        <w:rPr>
          <w:sz w:val="28"/>
          <w:szCs w:val="28"/>
        </w:rPr>
        <w:t xml:space="preserve"> председатели </w:t>
      </w:r>
      <w:r>
        <w:rPr>
          <w:sz w:val="28"/>
          <w:szCs w:val="28"/>
        </w:rPr>
        <w:t xml:space="preserve">ТОСов</w:t>
      </w:r>
      <w:r>
        <w:rPr>
          <w:sz w:val="28"/>
          <w:szCs w:val="28"/>
        </w:rPr>
        <w:t xml:space="preserve">, что позволяет нах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дить пути решения вопросов, изложенных в обращениях граждан.</w:t>
      </w:r>
      <w:r>
        <w:rPr>
          <w:sz w:val="28"/>
          <w:szCs w:val="28"/>
        </w:rPr>
      </w:r>
    </w:p>
    <w:p>
      <w:pPr>
        <w:pStyle w:val="466"/>
        <w:ind w:firstLine="709"/>
        <w:jc w:val="both"/>
        <w:rPr>
          <w:rFonts w:ascii="Times New Roman" w:hAnsi="Times New Roman" w:cs="Times New Roman" w:eastAsia="Times New Roman"/>
          <w:sz w:val="28"/>
          <w:szCs w:val="28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Для удобства граждан на официальном сайте администраци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и муниципального образования город Горячий Ключ работает «Виртуальная приемная», куда в 2024 году поступило 197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обращений (в 2023 году - 31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обращение).  </w:t>
      </w:r>
    </w:p>
    <w:p>
      <w:pPr>
        <w:pStyle w:val="466"/>
        <w:ind w:firstLine="709"/>
        <w:jc w:val="both"/>
        <w:rPr>
          <w:rFonts w:ascii="Times New Roman" w:hAnsi="Times New Roman" w:cs="Times New Roman" w:eastAsia="Times New Roman"/>
          <w:highlight w:val="yellow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Большое внимание уделяется сообщениям, поступившим по телефону «горячей линии». Суть сообщений операт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ивно передается соисполнителям для разрешения проблем в максимально сжатые сроки. В 2024 году по телефону «горячей линии» принято 471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сообщение, что меньше в сравнении с прошлым годом (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707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соо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бщений в 2023 году) 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на 33,38%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.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</w:t>
      </w:r>
      <w:r>
        <w:rPr>
          <w:rFonts w:ascii="Times New Roman" w:hAnsi="Times New Roman" w:cs="Times New Roman" w:eastAsia="Times New Roman"/>
          <w:sz w:val="28"/>
          <w:highlight w:val="yellow"/>
        </w:rPr>
      </w:r>
    </w:p>
    <w:p>
      <w:pPr>
        <w:pStyle w:val="466"/>
        <w:ind w:firstLine="709"/>
        <w:jc w:val="both"/>
        <w:rPr>
          <w:rFonts w:ascii="Times New Roman" w:hAnsi="Times New Roman" w:cs="Times New Roman" w:eastAsia="Times New Roman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Количество сообщений, поступивших на многоканальн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ый телефон администрации Краснодарского края, в сравнении с 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2023 годом уменьшилось на 56,53%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 и в отчетный период составило 143 сообщений (в 2023 году 329).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В том числе 66 сообщений, поступившие в рамках подготовки «Прямой линии» Губернатора Краснодарск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ого края, в аналогичный период 87 сообщений.</w:t>
      </w:r>
      <w:r>
        <w:rPr>
          <w:rFonts w:ascii="Times New Roman" w:hAnsi="Times New Roman" w:cs="Times New Roman" w:eastAsia="Times New Roman"/>
          <w:sz w:val="28"/>
        </w:rPr>
      </w:r>
    </w:p>
    <w:p>
      <w:pPr>
        <w:pStyle w:val="466"/>
        <w:ind w:firstLine="709"/>
        <w:jc w:val="both"/>
        <w:rPr>
          <w:rFonts w:ascii="Times New Roman" w:hAnsi="Times New Roman" w:cs="Times New Roman" w:eastAsia="Times New Roman"/>
          <w:sz w:val="28"/>
        </w:rPr>
      </w:pPr>
      <w:r>
        <w:rPr>
          <w:rFonts w:ascii="Times New Roman" w:hAnsi="Times New Roman" w:cs="Times New Roman" w:eastAsia="Times New Roman"/>
          <w:sz w:val="28"/>
          <w:szCs w:val="28"/>
        </w:rPr>
      </w:r>
    </w:p>
    <w:p>
      <w:pPr>
        <w:ind w:firstLine="851"/>
        <w:jc w:val="both"/>
        <w:spacing w:lineRule="auto" w:line="240" w:after="0"/>
        <w:rPr>
          <w:rFonts w:ascii="Times New Roman" w:hAnsi="Times New Roman" w:cs="Times New Roman" w:eastAsia="Times New Roman"/>
          <w:sz w:val="27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t xml:space="preserve">Личный прием граждан организован и осуществляется в соответствии со ст. 13 Федерал</w:t>
      </w:r>
      <w:r>
        <w:rPr>
          <w:rFonts w:ascii="Times New Roman" w:hAnsi="Times New Roman"/>
          <w:sz w:val="28"/>
          <w:szCs w:val="28"/>
        </w:rPr>
        <w:t xml:space="preserve">ьного закона от 2 мая 2006 года № 59-ФЗ «О порядке рассмотрения обращений граждан в Российской Федерации». Главой муниципального образования и его заместителями ведется личный, в том числе выездной прием граждан на территориях сельских населенных пунктов. </w:t>
      </w:r>
      <w:r>
        <w:rPr>
          <w:rFonts w:ascii="Times New Roman" w:hAnsi="Times New Roman" w:cs="Times New Roman" w:eastAsia="Times New Roman"/>
          <w:bCs/>
          <w:sz w:val="27"/>
          <w:szCs w:val="28"/>
        </w:rPr>
      </w:r>
    </w:p>
    <w:p>
      <w:pPr>
        <w:pStyle w:val="466"/>
        <w:ind w:left="0" w:right="0" w:firstLine="709"/>
        <w:jc w:val="both"/>
        <w:rPr>
          <w:rFonts w:ascii="Times New Roman" w:hAnsi="Times New Roman" w:cs="Times New Roman" w:eastAsia="Times New Roman"/>
          <w:sz w:val="28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В 2024 году руководством администрации муниципально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го образования на личных приемах принято 524 человека, что на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 4,2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% </w:t>
      </w:r>
      <w:r>
        <w:rPr>
          <w:rFonts w:ascii="Times New Roman" w:hAnsi="Times New Roman" w:cs="Times New Roman" w:eastAsia="Times New Roman"/>
          <w:sz w:val="28"/>
          <w:szCs w:val="28"/>
          <w:highlight w:val="white"/>
        </w:rPr>
        <w:t xml:space="preserve">бо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льше, чем в 2023 году (502),  в том числе главой муниципального образования 223 гражданина, что на 28,7% меньше показателей 2023 года (313 чел.).</w:t>
      </w:r>
    </w:p>
    <w:p>
      <w:pPr>
        <w:pStyle w:val="466"/>
        <w:ind w:left="0" w:right="0" w:firstLine="709"/>
        <w:jc w:val="both"/>
        <w:rPr>
          <w:rFonts w:ascii="Times New Roman" w:hAnsi="Times New Roman" w:cs="Times New Roman" w:eastAsia="Times New Roman"/>
          <w:sz w:val="28"/>
          <w:szCs w:val="28"/>
        </w:rPr>
      </w:pPr>
      <w:r>
        <w:rPr>
          <w:rFonts w:ascii="Times New Roman" w:hAnsi="Times New Roman" w:cs="Times New Roman" w:eastAsia="Times New Roman"/>
          <w:sz w:val="28"/>
          <w:szCs w:val="28"/>
        </w:rPr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Принято заявителей специалистами, ответственными за работу с обращениями граждан - 1070 человек. Специалистами отдела по работе с обращениями граждан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ежедневно даются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заявителям исчерпывающие разъяснения по интересующим вопросам, разъясняются, где, ке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м и в каком порядке они могут быть рассмотрены. Также специалистами ведется запись на прием к главе муниципального образования и к заместителям.</w:t>
      </w:r>
      <w:r>
        <w:rPr>
          <w:rFonts w:ascii="Times New Roman" w:hAnsi="Times New Roman"/>
        </w:rPr>
      </w:r>
    </w:p>
    <w:p>
      <w:pPr>
        <w:pStyle w:val="466"/>
        <w:ind w:firstLine="680"/>
        <w:jc w:val="both"/>
        <w:rPr>
          <w:rFonts w:ascii="Times New Roman" w:hAnsi="Times New Roman" w:cs="Times New Roman" w:eastAsia="Times New Roman"/>
          <w:sz w:val="28"/>
        </w:rPr>
      </w:pPr>
      <w:r>
        <w:rPr>
          <w:rFonts w:ascii="Times New Roman" w:hAnsi="Times New Roman" w:cs="Times New Roman" w:eastAsia="Times New Roman"/>
          <w:color w:val="000000" w:themeColor="text1"/>
          <w:sz w:val="28"/>
          <w:szCs w:val="28"/>
          <w:lang w:eastAsia="ru-RU"/>
        </w:rPr>
        <w:t xml:space="preserve">Администрацией города проводится работа по взаимодействию с общественностью и средствами массовой информации.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На постоянной основе ведется работа с обращениями в социальных сетях. Активно работают официальные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аккаунты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администрации города, основной задачей которых является информирование граждан о деятельности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администрации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.</w:t>
      </w:r>
    </w:p>
    <w:p>
      <w:pPr>
        <w:pStyle w:val="466"/>
        <w:ind w:left="0" w:right="0" w:firstLine="709"/>
        <w:jc w:val="both"/>
        <w:rPr>
          <w:rFonts w:ascii="Times New Roman" w:hAnsi="Times New Roman" w:cs="Times New Roman" w:eastAsia="Times New Roman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Администрация города представлена официальными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аккаунтами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во всех социальных сетях: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Телеграм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(количество подписчиков в официальном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аккаунте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- 4,595,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ВКонтакте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(количество подписчиков в официальном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аккаунте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-36.3, Одноклассники (количество подписчиков на официальном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аккаунте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-1130, пользуются большой популярностью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и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аккаунты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главы муниципального образования: в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Телеграм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- 2158 и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ВКонтакте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- 769.</w:t>
      </w:r>
      <w:r>
        <w:rPr>
          <w:rFonts w:ascii="Times New Roman" w:hAnsi="Times New Roman" w:cs="Times New Roman" w:eastAsia="Times New Roman"/>
          <w:sz w:val="28"/>
        </w:rPr>
      </w:r>
    </w:p>
    <w:p>
      <w:pPr>
        <w:pStyle w:val="466"/>
        <w:ind w:left="0" w:right="0" w:firstLine="709"/>
        <w:jc w:val="both"/>
        <w:rPr>
          <w:rFonts w:ascii="Times New Roman" w:hAnsi="Times New Roman" w:cs="Times New Roman" w:eastAsia="Times New Roman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В условиях развития современных технологий и повсеместной интеграции государственных и муниципальных органов власти в социальные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интернет-сообщества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,  появилось новое направлен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ие деятельности – работа с обращениями граждан в интернете. Кроме уже ставших традиционными ответов на жалобы жителей в социальных сетях, ведется работа в программе «Инцидент менеджмент» -  крупнейшей автоматизированной системе мониторинга СОЦМЕДИА и СМИ в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стране «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Медиалогия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». Основная масса вопросов, на которые приходится отвечать в социальных сетях, касается коммунального хозяйства. </w:t>
      </w:r>
      <w:r>
        <w:rPr>
          <w:rFonts w:ascii="Times New Roman" w:hAnsi="Times New Roman" w:cs="Times New Roman" w:eastAsia="Times New Roman"/>
          <w:sz w:val="28"/>
        </w:rPr>
      </w:r>
    </w:p>
    <w:p>
      <w:pPr>
        <w:pStyle w:val="466"/>
        <w:ind w:left="0" w:right="0" w:firstLine="709"/>
        <w:jc w:val="both"/>
        <w:rPr>
          <w:rFonts w:ascii="Times New Roman" w:hAnsi="Times New Roman" w:cs="Times New Roman" w:eastAsia="Times New Roman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С начала 2024 года ответы даны на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4896 обращений (4539 обращений в 2023 году). Чаще всего люди обращаются с проблемой касаю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щейся тематики «Коммунальное хозяйство».</w:t>
      </w:r>
      <w:r>
        <w:rPr>
          <w:rFonts w:ascii="Times New Roman" w:hAnsi="Times New Roman" w:cs="Times New Roman" w:eastAsia="Times New Roman"/>
          <w:sz w:val="28"/>
        </w:rPr>
      </w:r>
    </w:p>
    <w:p>
      <w:pPr>
        <w:pStyle w:val="466"/>
        <w:ind w:left="0" w:right="0" w:firstLine="709"/>
        <w:jc w:val="both"/>
        <w:rPr>
          <w:rFonts w:ascii="Times New Roman" w:hAnsi="Times New Roman" w:cs="Times New Roman" w:eastAsia="Times New Roman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Чаще всего ответ пресс-службы не сводится лишь к тому, чтобы принять жалобу и передать информацию в управление жизнеобеспечения городского хозяйства администрации муниципального образования город Горячий Ключ. Жалоб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ы отрабатываются, после чего заявителям в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соцсетях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 предоставляется подробный ответ на обращение. </w:t>
      </w:r>
      <w:r>
        <w:rPr>
          <w:rFonts w:ascii="Times New Roman" w:hAnsi="Times New Roman" w:cs="Times New Roman" w:eastAsia="Times New Roman"/>
          <w:sz w:val="28"/>
          <w:szCs w:val="28"/>
        </w:rPr>
      </w:r>
    </w:p>
    <w:p>
      <w:pPr>
        <w:pStyle w:val="466"/>
        <w:ind w:firstLine="709"/>
        <w:jc w:val="both"/>
        <w:rPr>
          <w:rFonts w:ascii="Times New Roman" w:hAnsi="Times New Roman" w:cs="Times New Roman" w:eastAsia="Times New Roman"/>
          <w:sz w:val="28"/>
          <w:szCs w:val="28"/>
        </w:rPr>
      </w:pPr>
      <w:r>
        <w:rPr>
          <w:rFonts w:ascii="Times New Roman" w:hAnsi="Times New Roman" w:cs="Times New Roman" w:eastAsia="Times New Roman"/>
          <w:sz w:val="28"/>
          <w:szCs w:val="28"/>
        </w:rPr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Муниципалитетом также ведется работа в программе «Платформа обратной связи» (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ПОС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). Эта информационная система предоставления единого окна обработки сообщений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граждан, поступающих  с сайта «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Госуслуги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». За отчетный период поступило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548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сообщений (из них 231 обращений) (в 2023 году 429 сообщений).</w:t>
      </w:r>
      <w:r>
        <w:rPr>
          <w:rFonts w:ascii="Times New Roman" w:hAnsi="Times New Roman" w:cs="Times New Roman" w:eastAsia="Times New Roman"/>
          <w:sz w:val="27"/>
        </w:rPr>
      </w:r>
    </w:p>
    <w:p>
      <w:pPr>
        <w:pStyle w:val="466"/>
        <w:ind w:left="0" w:right="0" w:firstLine="709"/>
        <w:jc w:val="both"/>
        <w:rPr>
          <w:rFonts w:ascii="Times New Roman" w:hAnsi="Times New Roman" w:cs="Times New Roman" w:eastAsia="Times New Roman"/>
        </w:rPr>
      </w:pPr>
      <w:r>
        <w:rPr>
          <w:rFonts w:ascii="Times New Roman" w:hAnsi="Times New Roman" w:cs="Times New Roman" w:eastAsia="Times New Roman"/>
          <w:sz w:val="28"/>
          <w:szCs w:val="28"/>
        </w:rPr>
        <w:t xml:space="preserve">Тематическая структура обращений граждан в целом из года в год остается стабильной, отмечаются определе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нные изменения, обусловленные общими социальными и  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экономическими процессами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, произошедшими на территории муниципалитета природными явлениями. Исходя из анализа количества и характера вопросов, содержащихся в обращениях граждан, поступивших в администраци</w:t>
      </w:r>
      <w:r>
        <w:rPr>
          <w:rFonts w:ascii="Times New Roman" w:hAnsi="Times New Roman" w:cs="Times New Roman" w:eastAsia="Times New Roman"/>
          <w:sz w:val="28"/>
          <w:szCs w:val="28"/>
        </w:rPr>
        <w:t xml:space="preserve">ю муниципального образования город Горячий Ключ, определяется перечень мер, направленных на устранение причин, способствующих повышенной активности обращений.</w:t>
      </w:r>
      <w:r>
        <w:rPr>
          <w:rFonts w:ascii="Times New Roman" w:hAnsi="Times New Roman" w:cs="Times New Roman" w:eastAsia="Times New Roman"/>
          <w:sz w:val="28"/>
        </w:rPr>
      </w:r>
    </w:p>
    <w:p>
      <w:pPr>
        <w:pStyle w:val="466"/>
        <w:ind w:firstLine="709"/>
        <w:jc w:val="both"/>
        <w:rPr>
          <w:rFonts w:ascii="Times New Roman" w:hAnsi="Times New Roman" w:cs="Times New Roman" w:eastAsia="Times New Roman"/>
          <w:sz w:val="28"/>
        </w:rPr>
      </w:pPr>
      <w:r>
        <w:rPr>
          <w:rFonts w:ascii="Times New Roman" w:hAnsi="Times New Roman" w:cs="Times New Roman" w:eastAsia="Times New Roman"/>
          <w:sz w:val="28"/>
          <w:szCs w:val="28"/>
        </w:rPr>
      </w:r>
      <w:r>
        <w:rPr>
          <w:rFonts w:ascii="Times New Roman" w:hAnsi="Times New Roman" w:cs="Times New Roman" w:eastAsia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>
        <w:separator/>
      </w:r>
    </w:p>
  </w:endnote>
  <w:endnote w:type="continuationSeparator" w:id="0">
    <w:p>
      <w:pPr>
        <w:spacing w:lineRule="auto" w:line="24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>
        <w:separator/>
      </w:r>
    </w:p>
  </w:footnote>
  <w:footnote w:type="continuationSeparator" w:id="0">
    <w:p>
      <w:pPr>
        <w:spacing w:lineRule="auto" w:line="240" w:after="0"/>
      </w:pPr>
      <w:r>
        <w:continuationSeparator/>
      </w:r>
    </w:p>
  </w:footnote>
</w:footnotes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>
    <m:brkBin m:val="before"/>
    <m:defJc m:val="centerGroup"/>
    <m:intLim m:val="subSup"/>
    <m:lMargin m:val="0"/>
    <m:mathFont m:val="Cambria Math"/>
    <m:naryLim m:val="undOvr"/>
    <m:rMargin m:val="0"/>
    <m:smallFrac m:val="off"/>
    <m:wrapIndent m:val="1440"/>
  </m:mathPr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ecimalSymbol w:val=","/>
  <w:listSeparator w:val=";"/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cs="Calibri" w:eastAsia="Calibri" w:hint="default"/>
        <w:color w:val="auto"/>
        <w:spacing w:val="0"/>
        <w:position w:val="0"/>
        <w:sz w:val="22"/>
        <w:szCs w:val="22"/>
        <w:lang w:val="ru-RU" w:bidi="ar-SA" w:eastAsia="en-US"/>
      </w:rPr>
    </w:rPrDefault>
    <w:pPrDefault>
      <w:pPr>
        <w:ind w:left="0" w:right="0" w:firstLine="0"/>
        <w:jc w:val="left"/>
        <w:spacing w:lineRule="auto" w:line="276" w:after="200" w:afterAutospacing="0" w:before="0" w:beforeAutospacing="0"/>
        <w:shd w:val="nil" w:color="auto" w:fill="FFFFFF"/>
        <w:pBdr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  <w:between w:val="none" w:color="000000" w:sz="4" w:space="0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447">
    <w:name w:val="Heading 1"/>
    <w:basedOn w:val="625"/>
    <w:next w:val="625"/>
    <w:link w:val="448"/>
    <w:qFormat/>
    <w:uiPriority w:val="9"/>
    <w:rPr>
      <w:rFonts w:ascii="Arial" w:hAnsi="Arial" w:cs="Arial" w:eastAsia="Arial"/>
      <w:sz w:val="40"/>
      <w:szCs w:val="40"/>
    </w:rPr>
    <w:pPr>
      <w:keepLines/>
      <w:keepNext/>
      <w:spacing w:after="200" w:before="480"/>
      <w:outlineLvl w:val="0"/>
    </w:pPr>
  </w:style>
  <w:style w:type="character" w:styleId="448">
    <w:name w:val="Heading 1 Char"/>
    <w:basedOn w:val="626"/>
    <w:link w:val="447"/>
    <w:uiPriority w:val="9"/>
    <w:rPr>
      <w:rFonts w:ascii="Arial" w:hAnsi="Arial" w:cs="Arial" w:eastAsia="Arial"/>
      <w:sz w:val="40"/>
      <w:szCs w:val="40"/>
    </w:rPr>
  </w:style>
  <w:style w:type="paragraph" w:styleId="449">
    <w:name w:val="Heading 2"/>
    <w:basedOn w:val="625"/>
    <w:next w:val="625"/>
    <w:link w:val="450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450">
    <w:name w:val="Heading 2 Char"/>
    <w:basedOn w:val="626"/>
    <w:link w:val="449"/>
    <w:uiPriority w:val="9"/>
    <w:rPr>
      <w:rFonts w:ascii="Arial" w:hAnsi="Arial" w:cs="Arial" w:eastAsia="Arial"/>
      <w:sz w:val="34"/>
    </w:rPr>
  </w:style>
  <w:style w:type="paragraph" w:styleId="451">
    <w:name w:val="Heading 3"/>
    <w:basedOn w:val="625"/>
    <w:next w:val="625"/>
    <w:link w:val="452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452">
    <w:name w:val="Heading 3 Char"/>
    <w:basedOn w:val="626"/>
    <w:link w:val="451"/>
    <w:uiPriority w:val="9"/>
    <w:rPr>
      <w:rFonts w:ascii="Arial" w:hAnsi="Arial" w:cs="Arial" w:eastAsia="Arial"/>
      <w:sz w:val="30"/>
      <w:szCs w:val="30"/>
    </w:rPr>
  </w:style>
  <w:style w:type="paragraph" w:styleId="453">
    <w:name w:val="Heading 4"/>
    <w:basedOn w:val="625"/>
    <w:next w:val="625"/>
    <w:link w:val="454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454">
    <w:name w:val="Heading 4 Char"/>
    <w:basedOn w:val="626"/>
    <w:link w:val="453"/>
    <w:uiPriority w:val="9"/>
    <w:rPr>
      <w:rFonts w:ascii="Arial" w:hAnsi="Arial" w:cs="Arial" w:eastAsia="Arial"/>
      <w:b/>
      <w:bCs/>
      <w:sz w:val="26"/>
      <w:szCs w:val="26"/>
    </w:rPr>
  </w:style>
  <w:style w:type="paragraph" w:styleId="455">
    <w:name w:val="Heading 5"/>
    <w:basedOn w:val="625"/>
    <w:next w:val="625"/>
    <w:link w:val="456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456">
    <w:name w:val="Heading 5 Char"/>
    <w:basedOn w:val="626"/>
    <w:link w:val="455"/>
    <w:uiPriority w:val="9"/>
    <w:rPr>
      <w:rFonts w:ascii="Arial" w:hAnsi="Arial" w:cs="Arial" w:eastAsia="Arial"/>
      <w:b/>
      <w:bCs/>
      <w:sz w:val="24"/>
      <w:szCs w:val="24"/>
    </w:rPr>
  </w:style>
  <w:style w:type="paragraph" w:styleId="457">
    <w:name w:val="Heading 6"/>
    <w:basedOn w:val="625"/>
    <w:next w:val="625"/>
    <w:link w:val="458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458">
    <w:name w:val="Heading 6 Char"/>
    <w:basedOn w:val="626"/>
    <w:link w:val="457"/>
    <w:uiPriority w:val="9"/>
    <w:rPr>
      <w:rFonts w:ascii="Arial" w:hAnsi="Arial" w:cs="Arial" w:eastAsia="Arial"/>
      <w:b/>
      <w:bCs/>
      <w:sz w:val="22"/>
      <w:szCs w:val="22"/>
    </w:rPr>
  </w:style>
  <w:style w:type="paragraph" w:styleId="459">
    <w:name w:val="Heading 7"/>
    <w:basedOn w:val="625"/>
    <w:next w:val="625"/>
    <w:link w:val="460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460">
    <w:name w:val="Heading 7 Char"/>
    <w:basedOn w:val="626"/>
    <w:link w:val="459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461">
    <w:name w:val="Heading 8"/>
    <w:basedOn w:val="625"/>
    <w:next w:val="625"/>
    <w:link w:val="462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462">
    <w:name w:val="Heading 8 Char"/>
    <w:basedOn w:val="626"/>
    <w:link w:val="461"/>
    <w:uiPriority w:val="9"/>
    <w:rPr>
      <w:rFonts w:ascii="Arial" w:hAnsi="Arial" w:cs="Arial" w:eastAsia="Arial"/>
      <w:i/>
      <w:iCs/>
      <w:sz w:val="22"/>
      <w:szCs w:val="22"/>
    </w:rPr>
  </w:style>
  <w:style w:type="paragraph" w:styleId="463">
    <w:name w:val="Heading 9"/>
    <w:basedOn w:val="625"/>
    <w:next w:val="625"/>
    <w:link w:val="464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464">
    <w:name w:val="Heading 9 Char"/>
    <w:basedOn w:val="626"/>
    <w:link w:val="463"/>
    <w:uiPriority w:val="9"/>
    <w:rPr>
      <w:rFonts w:ascii="Arial" w:hAnsi="Arial" w:cs="Arial" w:eastAsia="Arial"/>
      <w:i/>
      <w:iCs/>
      <w:sz w:val="21"/>
      <w:szCs w:val="21"/>
    </w:rPr>
  </w:style>
  <w:style w:type="paragraph" w:styleId="465">
    <w:name w:val="List Paragraph"/>
    <w:basedOn w:val="625"/>
    <w:qFormat/>
    <w:uiPriority w:val="34"/>
    <w:pPr>
      <w:contextualSpacing w:val="true"/>
      <w:ind w:left="720"/>
    </w:pPr>
  </w:style>
  <w:style w:type="paragraph" w:styleId="466">
    <w:name w:val="No Spacing"/>
    <w:qFormat/>
    <w:uiPriority w:val="1"/>
    <w:pPr>
      <w:spacing w:lineRule="auto" w:line="240" w:after="0" w:before="0"/>
    </w:pPr>
  </w:style>
  <w:style w:type="paragraph" w:styleId="467">
    <w:name w:val="Title"/>
    <w:basedOn w:val="625"/>
    <w:next w:val="625"/>
    <w:link w:val="468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468">
    <w:name w:val="Title Char"/>
    <w:basedOn w:val="626"/>
    <w:link w:val="467"/>
    <w:uiPriority w:val="10"/>
    <w:rPr>
      <w:sz w:val="48"/>
      <w:szCs w:val="48"/>
    </w:rPr>
  </w:style>
  <w:style w:type="paragraph" w:styleId="469">
    <w:name w:val="Subtitle"/>
    <w:basedOn w:val="625"/>
    <w:next w:val="625"/>
    <w:link w:val="470"/>
    <w:qFormat/>
    <w:uiPriority w:val="11"/>
    <w:rPr>
      <w:sz w:val="24"/>
      <w:szCs w:val="24"/>
    </w:rPr>
    <w:pPr>
      <w:spacing w:after="200" w:before="200"/>
    </w:pPr>
  </w:style>
  <w:style w:type="character" w:styleId="470">
    <w:name w:val="Subtitle Char"/>
    <w:basedOn w:val="626"/>
    <w:link w:val="469"/>
    <w:uiPriority w:val="11"/>
    <w:rPr>
      <w:sz w:val="24"/>
      <w:szCs w:val="24"/>
    </w:rPr>
  </w:style>
  <w:style w:type="paragraph" w:styleId="471">
    <w:name w:val="Quote"/>
    <w:basedOn w:val="625"/>
    <w:next w:val="625"/>
    <w:link w:val="472"/>
    <w:qFormat/>
    <w:uiPriority w:val="29"/>
    <w:rPr>
      <w:i/>
    </w:rPr>
    <w:pPr>
      <w:ind w:left="720" w:right="720"/>
    </w:pPr>
  </w:style>
  <w:style w:type="character" w:styleId="472">
    <w:name w:val="Quote Char"/>
    <w:link w:val="471"/>
    <w:uiPriority w:val="29"/>
    <w:rPr>
      <w:i/>
    </w:rPr>
  </w:style>
  <w:style w:type="paragraph" w:styleId="473">
    <w:name w:val="Intense Quote"/>
    <w:basedOn w:val="625"/>
    <w:next w:val="625"/>
    <w:link w:val="474"/>
    <w:qFormat/>
    <w:uiPriority w:val="30"/>
    <w:rPr>
      <w:i/>
    </w:rPr>
    <w:pPr>
      <w:contextualSpacing w:val="false"/>
      <w:ind w:left="720" w:right="720"/>
      <w:shd w:val="clear" w:color="auto" w:fill="F2F2F2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474">
    <w:name w:val="Intense Quote Char"/>
    <w:link w:val="473"/>
    <w:uiPriority w:val="30"/>
    <w:rPr>
      <w:i/>
    </w:rPr>
  </w:style>
  <w:style w:type="paragraph" w:styleId="475">
    <w:name w:val="Header"/>
    <w:basedOn w:val="625"/>
    <w:link w:val="476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76">
    <w:name w:val="Header Char"/>
    <w:basedOn w:val="626"/>
    <w:link w:val="475"/>
    <w:uiPriority w:val="99"/>
  </w:style>
  <w:style w:type="paragraph" w:styleId="477">
    <w:name w:val="Footer"/>
    <w:basedOn w:val="625"/>
    <w:link w:val="480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78">
    <w:name w:val="Footer Char"/>
    <w:basedOn w:val="626"/>
    <w:link w:val="477"/>
    <w:uiPriority w:val="99"/>
  </w:style>
  <w:style w:type="paragraph" w:styleId="479">
    <w:name w:val="Caption"/>
    <w:basedOn w:val="625"/>
    <w:next w:val="625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80">
    <w:name w:val="Caption Char"/>
    <w:basedOn w:val="479"/>
    <w:link w:val="477"/>
    <w:uiPriority w:val="99"/>
  </w:style>
  <w:style w:type="table" w:styleId="481">
    <w:name w:val="Table Grid"/>
    <w:basedOn w:val="627"/>
    <w:uiPriority w:val="59"/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2">
    <w:name w:val="Table Grid Light"/>
    <w:basedOn w:val="627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3">
    <w:name w:val="Plain Table 1"/>
    <w:basedOn w:val="627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84">
    <w:name w:val="Plain Table 2"/>
    <w:basedOn w:val="627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85">
    <w:name w:val="Plain Table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486">
    <w:name w:val="Plain Table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87">
    <w:name w:val="Plain Table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auto" w:fill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auto" w:fill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488">
    <w:name w:val="Grid Table 1 Light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89">
    <w:name w:val="Grid Table 1 Light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0">
    <w:name w:val="Grid Table 1 Light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1">
    <w:name w:val="Grid Table 1 Light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2">
    <w:name w:val="Grid Table 1 Light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3">
    <w:name w:val="Grid Table 1 Light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4">
    <w:name w:val="Grid Table 1 Light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495">
    <w:name w:val="Grid Table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496">
    <w:name w:val="Grid Table 2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497">
    <w:name w:val="Grid Table 2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498">
    <w:name w:val="Grid Table 2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499">
    <w:name w:val="Grid Table 2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500">
    <w:name w:val="Grid Table 2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501">
    <w:name w:val="Grid Table 2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502">
    <w:name w:val="Grid Table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3">
    <w:name w:val="Grid Table 3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4">
    <w:name w:val="Grid Table 3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5">
    <w:name w:val="Grid Table 3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6">
    <w:name w:val="Grid Table 3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7">
    <w:name w:val="Grid Table 3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8">
    <w:name w:val="Grid Table 3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509">
    <w:name w:val="Grid Table 4"/>
    <w:basedOn w:val="627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510">
    <w:name w:val="Grid Table 4 - Accent 1"/>
    <w:basedOn w:val="627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511">
    <w:name w:val="Grid Table 4 - Accent 2"/>
    <w:basedOn w:val="627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512">
    <w:name w:val="Grid Table 4 - Accent 3"/>
    <w:basedOn w:val="627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513">
    <w:name w:val="Grid Table 4 - Accent 4"/>
    <w:basedOn w:val="627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514">
    <w:name w:val="Grid Table 4 - Accent 5"/>
    <w:basedOn w:val="627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515">
    <w:name w:val="Grid Table 4 - Accent 6"/>
    <w:basedOn w:val="627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516">
    <w:name w:val="Grid Table 5 Dark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/>
        <w:tcBorders>
          <w:top w:val="single" w:color="000000" w:sz="4" w:space="0" w:themeColor="light1"/>
        </w:tcBorders>
      </w:tcPr>
    </w:tblStylePr>
  </w:style>
  <w:style w:type="table" w:styleId="517">
    <w:name w:val="Grid Table 5 Dark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/>
        <w:tcBorders>
          <w:top w:val="single" w:color="000000" w:sz="4" w:space="0" w:themeColor="light1"/>
        </w:tcBorders>
      </w:tcPr>
    </w:tblStylePr>
  </w:style>
  <w:style w:type="table" w:styleId="518">
    <w:name w:val="Grid Table 5 Dark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/>
        <w:tcBorders>
          <w:top w:val="single" w:color="000000" w:sz="4" w:space="0" w:themeColor="light1"/>
        </w:tcBorders>
      </w:tcPr>
    </w:tblStylePr>
  </w:style>
  <w:style w:type="table" w:styleId="519">
    <w:name w:val="Grid Table 5 Dark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/>
        <w:tcBorders>
          <w:top w:val="single" w:color="000000" w:sz="4" w:space="0" w:themeColor="light1"/>
        </w:tcBorders>
      </w:tcPr>
    </w:tblStylePr>
  </w:style>
  <w:style w:type="table" w:styleId="520">
    <w:name w:val="Grid Table 5 Dark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/>
        <w:tcBorders>
          <w:top w:val="single" w:color="000000" w:sz="4" w:space="0" w:themeColor="light1"/>
        </w:tcBorders>
      </w:tcPr>
    </w:tblStylePr>
  </w:style>
  <w:style w:type="table" w:styleId="521">
    <w:name w:val="Grid Table 5 Dark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/>
        <w:tcBorders>
          <w:top w:val="single" w:color="000000" w:sz="4" w:space="0" w:themeColor="light1"/>
        </w:tcBorders>
      </w:tcPr>
    </w:tblStylePr>
  </w:style>
  <w:style w:type="table" w:styleId="522">
    <w:name w:val="Grid Table 5 Dark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/>
        <w:tcBorders>
          <w:top w:val="single" w:color="000000" w:sz="4" w:space="0" w:themeColor="light1"/>
        </w:tcBorders>
      </w:tcPr>
    </w:tblStylePr>
  </w:style>
  <w:style w:type="table" w:styleId="523">
    <w:name w:val="Grid Table 6 Colorful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524">
    <w:name w:val="Grid Table 6 Colorful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525">
    <w:name w:val="Grid Table 6 Colorful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526">
    <w:name w:val="Grid Table 6 Colorful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527">
    <w:name w:val="Grid Table 6 Colorful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528">
    <w:name w:val="Grid Table 6 Colorful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529">
    <w:name w:val="Grid Table 6 Colorful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530">
    <w:name w:val="Grid Table 7 Colorful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text1" w:themeTint="80"/>
          <w:bottom w:val="none" w:color="00000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auto" w:fill="FFFFFF"/>
        <w:tcBorders>
          <w:left w:val="single" w:color="000000" w:sz="4" w:space="0" w:themeColor="tex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text1" w:themeTint="80"/>
          <w:right w:val="none" w:color="000000" w:sz="4" w:space="0"/>
          <w:bottom w:val="none" w:color="000000" w:sz="4" w:space="0"/>
        </w:tcBorders>
      </w:tcPr>
    </w:tblStylePr>
  </w:style>
  <w:style w:type="table" w:styleId="531">
    <w:name w:val="Grid Table 7 Colorful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1" w:themeTint="80"/>
          <w:bottom w:val="none" w:color="00000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auto" w:fill="FFFFFF"/>
        <w:tcBorders>
          <w:left w:val="single" w:color="000000" w:sz="4" w:space="0" w:themeColor="accen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1" w:themeTint="80"/>
          <w:right w:val="none" w:color="000000" w:sz="4" w:space="0"/>
          <w:bottom w:val="none" w:color="000000" w:sz="4" w:space="0"/>
        </w:tcBorders>
      </w:tcPr>
    </w:tblStylePr>
  </w:style>
  <w:style w:type="table" w:styleId="532">
    <w:name w:val="Grid Table 7 Colorful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2" w:themeTint="97"/>
          <w:bottom w:val="none" w:color="000000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auto" w:fill="FFFFFF"/>
        <w:tcBorders>
          <w:left w:val="single" w:color="000000" w:sz="4" w:space="0" w:themeColor="accent2" w:themeTint="97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533">
    <w:name w:val="Grid Table 7 Colorful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3" w:themeTint="FE"/>
          <w:bottom w:val="none" w:color="000000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auto" w:fill="FFFFFF"/>
        <w:tcBorders>
          <w:left w:val="single" w:color="000000" w:sz="4" w:space="0" w:themeColor="accent3" w:themeTint="FE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534">
    <w:name w:val="Grid Table 7 Colorful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4" w:themeTint="9A"/>
          <w:bottom w:val="none" w:color="000000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auto" w:fill="FFFFFF"/>
        <w:tcBorders>
          <w:left w:val="single" w:color="000000" w:sz="4" w:space="0" w:themeColor="accent4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535">
    <w:name w:val="Grid Table 7 Colorful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5" w:themeTint="90"/>
          <w:bottom w:val="none" w:color="00000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auto" w:fill="FFFFFF"/>
        <w:tcBorders>
          <w:left w:val="single" w:color="000000" w:sz="4" w:space="0" w:themeColor="accent5" w:themeTint="9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none" w:color="000000" w:sz="4" w:space="0"/>
        </w:tcBorders>
      </w:tcPr>
    </w:tblStylePr>
  </w:style>
  <w:style w:type="table" w:styleId="536">
    <w:name w:val="Grid Table 7 Colorful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6" w:themeTint="90"/>
          <w:bottom w:val="none" w:color="00000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auto" w:fill="FFFFFF"/>
        <w:tcBorders>
          <w:left w:val="single" w:color="000000" w:sz="4" w:space="0" w:themeColor="accent6" w:themeTint="9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none" w:color="000000" w:sz="4" w:space="0"/>
        </w:tcBorders>
      </w:tcPr>
    </w:tblStylePr>
  </w:style>
  <w:style w:type="table" w:styleId="537">
    <w:name w:val="List Table 1 Light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538">
    <w:name w:val="List Table 1 Light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539">
    <w:name w:val="List Table 1 Light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540">
    <w:name w:val="List Table 1 Light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541">
    <w:name w:val="List Table 1 Light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542">
    <w:name w:val="List Table 1 Light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543">
    <w:name w:val="List Table 1 Light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544">
    <w:name w:val="List Table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545">
    <w:name w:val="List Table 2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546">
    <w:name w:val="List Table 2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547">
    <w:name w:val="List Table 2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548">
    <w:name w:val="List Table 2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549">
    <w:name w:val="List Table 2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550">
    <w:name w:val="List Table 2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551">
    <w:name w:val="List Table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2">
    <w:name w:val="List Table 3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3">
    <w:name w:val="List Table 3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4">
    <w:name w:val="List Table 3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5">
    <w:name w:val="List Table 3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6">
    <w:name w:val="List Table 3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7">
    <w:name w:val="List Table 3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8">
    <w:name w:val="List Table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9">
    <w:name w:val="List Table 4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0">
    <w:name w:val="List Table 4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1">
    <w:name w:val="List Table 4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2">
    <w:name w:val="List Table 4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3">
    <w:name w:val="List Table 4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4">
    <w:name w:val="List Table 4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5">
    <w:name w:val="List Table 5 Dark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color="auto" w:fill="FFFFFF"/>
    </w:tblPr>
    <w:tblStylePr w:type="band1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6">
    <w:name w:val="List Table 5 Dark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color="auto" w:fill="FFFFFF"/>
    </w:tblPr>
    <w:tblStylePr w:type="band1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7">
    <w:name w:val="List Table 5 Dark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color="auto" w:fill="FFFFFF"/>
    </w:tblPr>
    <w:tblStylePr w:type="band1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8">
    <w:name w:val="List Table 5 Dark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color="auto" w:fill="FFFFFF"/>
    </w:tblPr>
    <w:tblStylePr w:type="band1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69">
    <w:name w:val="List Table 5 Dark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color="auto" w:fill="FFFFFF"/>
    </w:tblPr>
    <w:tblStylePr w:type="band1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70">
    <w:name w:val="List Table 5 Dark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color="auto" w:fill="FFFFFF"/>
    </w:tblPr>
    <w:tblStylePr w:type="band1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71">
    <w:name w:val="List Table 5 Dark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color="auto" w:fill="FFFFFF"/>
    </w:tblPr>
    <w:tblStylePr w:type="band1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572">
    <w:name w:val="List Table 6 Colorful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573">
    <w:name w:val="List Table 6 Colorful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574">
    <w:name w:val="List Table 6 Colorful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575">
    <w:name w:val="List Table 6 Colorful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576">
    <w:name w:val="List Table 6 Colorful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577">
    <w:name w:val="List Table 6 Colorful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578">
    <w:name w:val="List Table 6 Colorful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579">
    <w:name w:val="List Table 7 Colorful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text1" w:themeTint="80"/>
          <w:bottom w:val="none" w:color="00000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auto" w:fill="FFFFFF"/>
        <w:tcBorders>
          <w:left w:val="single" w:color="000000" w:sz="4" w:space="0" w:themeColor="text1" w:themeTint="8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text1" w:themeTint="80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580">
    <w:name w:val="List Table 7 Colorful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1"/>
          <w:bottom w:val="none" w:color="000000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auto" w:fill="FFFFFF"/>
        <w:tcBorders>
          <w:left w:val="single" w:color="000000" w:sz="4" w:space="0" w:themeColor="accent1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581">
    <w:name w:val="List Table 7 Colorful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2" w:themeTint="97"/>
          <w:bottom w:val="none" w:color="000000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auto" w:fill="FFFFFF"/>
        <w:tcBorders>
          <w:left w:val="single" w:color="000000" w:sz="4" w:space="0" w:themeColor="accent2" w:themeTint="97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582">
    <w:name w:val="List Table 7 Colorful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3" w:themeTint="98"/>
          <w:bottom w:val="none" w:color="000000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auto" w:fill="FFFFFF"/>
        <w:tcBorders>
          <w:left w:val="single" w:color="000000" w:sz="4" w:space="0" w:themeColor="accent3" w:themeTint="98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3" w:themeTint="98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583">
    <w:name w:val="List Table 7 Colorful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4" w:themeTint="9A"/>
          <w:bottom w:val="none" w:color="000000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auto" w:fill="FFFFFF"/>
        <w:tcBorders>
          <w:left w:val="single" w:color="000000" w:sz="4" w:space="0" w:themeColor="accent4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584">
    <w:name w:val="List Table 7 Colorful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5" w:themeTint="9A"/>
          <w:bottom w:val="none" w:color="000000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auto" w:fill="FFFFFF"/>
        <w:tcBorders>
          <w:left w:val="single" w:color="000000" w:sz="4" w:space="0" w:themeColor="accent5" w:themeTint="9A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5" w:themeTint="9A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585">
    <w:name w:val="List Table 7 Colorful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auto" w:fill="FFFFFF"/>
      </w:tcPr>
    </w:tblStylePr>
    <w:tblStylePr w:type="band1Vert">
      <w:tcPr>
        <w:shd w:val="clear" w:color="auto" w:fill="FFFFFF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auto" w:fill="FFFFFF"/>
        <w:tcBorders>
          <w:left w:val="none" w:color="000000" w:sz="4" w:space="0"/>
          <w:top w:val="none" w:color="000000" w:sz="4" w:space="0"/>
          <w:right w:val="single" w:color="000000" w:sz="4" w:space="0" w:themeColor="accent6" w:themeTint="98"/>
          <w:bottom w:val="none" w:color="000000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auto" w:fill="FFFFFF"/>
        <w:tcBorders>
          <w:left w:val="single" w:color="000000" w:sz="4" w:space="0" w:themeColor="accent6" w:themeTint="98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auto" w:fill="FFFFFF"/>
        <w:tcBorders>
          <w:left w:val="none" w:color="000000" w:sz="4" w:space="0"/>
          <w:top w:val="single" w:color="000000" w:sz="4" w:space="0" w:themeColor="accent6" w:themeTint="98"/>
          <w:right w:val="none" w:color="000000" w:sz="4" w:space="0"/>
          <w:bottom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586">
    <w:name w:val="Lined - Accent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87">
    <w:name w:val="Lined - Accent 1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88">
    <w:name w:val="Lined - Accent 2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89">
    <w:name w:val="Lined - Accent 3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0">
    <w:name w:val="Lined - Accent 4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1">
    <w:name w:val="Lined - Accent 5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2">
    <w:name w:val="Lined - Accent 6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3">
    <w:name w:val="Bordered &amp; Lined - Accent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4">
    <w:name w:val="Bordered &amp; Lined - Accent 1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5">
    <w:name w:val="Bordered &amp; Lined - Accent 2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6">
    <w:name w:val="Bordered &amp; Lined - Accent 3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7">
    <w:name w:val="Bordered &amp; Lined - Accent 4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8">
    <w:name w:val="Bordered &amp; Lined - Accent 5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599">
    <w:name w:val="Bordered &amp; Lined - Accent 6"/>
    <w:basedOn w:val="627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/>
      </w:tcPr>
    </w:tblStylePr>
  </w:style>
  <w:style w:type="table" w:styleId="600">
    <w:name w:val="Bordered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601">
    <w:name w:val="Bordered - Accent 1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602">
    <w:name w:val="Bordered - Accent 2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603">
    <w:name w:val="Bordered - Accent 3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604">
    <w:name w:val="Bordered - Accent 4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605">
    <w:name w:val="Bordered - Accent 5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606">
    <w:name w:val="Bordered - Accent 6"/>
    <w:basedOn w:val="627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character" w:styleId="607">
    <w:name w:val="Hyperlink"/>
    <w:uiPriority w:val="99"/>
    <w:unhideWhenUsed/>
    <w:rPr>
      <w:color w:val="0000FF" w:themeColor="hyperlink"/>
      <w:u w:val="single"/>
    </w:rPr>
  </w:style>
  <w:style w:type="paragraph" w:styleId="608">
    <w:name w:val="footnote text"/>
    <w:basedOn w:val="625"/>
    <w:link w:val="609"/>
    <w:uiPriority w:val="99"/>
    <w:semiHidden/>
    <w:unhideWhenUsed/>
    <w:rPr>
      <w:sz w:val="18"/>
    </w:rPr>
    <w:pPr>
      <w:spacing w:lineRule="auto" w:line="240" w:after="40"/>
    </w:pPr>
  </w:style>
  <w:style w:type="character" w:styleId="609">
    <w:name w:val="Footnote Text Char"/>
    <w:link w:val="608"/>
    <w:uiPriority w:val="99"/>
    <w:rPr>
      <w:sz w:val="18"/>
    </w:rPr>
  </w:style>
  <w:style w:type="character" w:styleId="610">
    <w:name w:val="footnote reference"/>
    <w:basedOn w:val="626"/>
    <w:uiPriority w:val="99"/>
    <w:unhideWhenUsed/>
    <w:rPr>
      <w:vertAlign w:val="superscript"/>
    </w:rPr>
  </w:style>
  <w:style w:type="paragraph" w:styleId="611">
    <w:name w:val="endnote text"/>
    <w:basedOn w:val="625"/>
    <w:link w:val="612"/>
    <w:uiPriority w:val="99"/>
    <w:semiHidden/>
    <w:unhideWhenUsed/>
    <w:rPr>
      <w:sz w:val="20"/>
    </w:rPr>
    <w:pPr>
      <w:spacing w:lineRule="auto" w:line="240" w:after="0"/>
    </w:pPr>
  </w:style>
  <w:style w:type="character" w:styleId="612">
    <w:name w:val="Endnote Text Char"/>
    <w:link w:val="611"/>
    <w:uiPriority w:val="99"/>
    <w:rPr>
      <w:sz w:val="20"/>
    </w:rPr>
  </w:style>
  <w:style w:type="character" w:styleId="613">
    <w:name w:val="endnote reference"/>
    <w:basedOn w:val="626"/>
    <w:uiPriority w:val="99"/>
    <w:semiHidden/>
    <w:unhideWhenUsed/>
    <w:rPr>
      <w:vertAlign w:val="superscript"/>
    </w:rPr>
  </w:style>
  <w:style w:type="paragraph" w:styleId="614">
    <w:name w:val="toc 1"/>
    <w:basedOn w:val="625"/>
    <w:next w:val="625"/>
    <w:uiPriority w:val="39"/>
    <w:unhideWhenUsed/>
    <w:pPr>
      <w:ind w:left="0" w:right="0" w:firstLine="0"/>
      <w:spacing w:after="57"/>
    </w:pPr>
  </w:style>
  <w:style w:type="paragraph" w:styleId="615">
    <w:name w:val="toc 2"/>
    <w:basedOn w:val="625"/>
    <w:next w:val="625"/>
    <w:uiPriority w:val="39"/>
    <w:unhideWhenUsed/>
    <w:pPr>
      <w:ind w:left="283" w:right="0" w:firstLine="0"/>
      <w:spacing w:after="57"/>
    </w:pPr>
  </w:style>
  <w:style w:type="paragraph" w:styleId="616">
    <w:name w:val="toc 3"/>
    <w:basedOn w:val="625"/>
    <w:next w:val="625"/>
    <w:uiPriority w:val="39"/>
    <w:unhideWhenUsed/>
    <w:pPr>
      <w:ind w:left="567" w:right="0" w:firstLine="0"/>
      <w:spacing w:after="57"/>
    </w:pPr>
  </w:style>
  <w:style w:type="paragraph" w:styleId="617">
    <w:name w:val="toc 4"/>
    <w:basedOn w:val="625"/>
    <w:next w:val="625"/>
    <w:uiPriority w:val="39"/>
    <w:unhideWhenUsed/>
    <w:pPr>
      <w:ind w:left="850" w:right="0" w:firstLine="0"/>
      <w:spacing w:after="57"/>
    </w:pPr>
  </w:style>
  <w:style w:type="paragraph" w:styleId="618">
    <w:name w:val="toc 5"/>
    <w:basedOn w:val="625"/>
    <w:next w:val="625"/>
    <w:uiPriority w:val="39"/>
    <w:unhideWhenUsed/>
    <w:pPr>
      <w:ind w:left="1134" w:right="0" w:firstLine="0"/>
      <w:spacing w:after="57"/>
    </w:pPr>
  </w:style>
  <w:style w:type="paragraph" w:styleId="619">
    <w:name w:val="toc 6"/>
    <w:basedOn w:val="625"/>
    <w:next w:val="625"/>
    <w:uiPriority w:val="39"/>
    <w:unhideWhenUsed/>
    <w:pPr>
      <w:ind w:left="1417" w:right="0" w:firstLine="0"/>
      <w:spacing w:after="57"/>
    </w:pPr>
  </w:style>
  <w:style w:type="paragraph" w:styleId="620">
    <w:name w:val="toc 7"/>
    <w:basedOn w:val="625"/>
    <w:next w:val="625"/>
    <w:uiPriority w:val="39"/>
    <w:unhideWhenUsed/>
    <w:pPr>
      <w:ind w:left="1701" w:right="0" w:firstLine="0"/>
      <w:spacing w:after="57"/>
    </w:pPr>
  </w:style>
  <w:style w:type="paragraph" w:styleId="621">
    <w:name w:val="toc 8"/>
    <w:basedOn w:val="625"/>
    <w:next w:val="625"/>
    <w:uiPriority w:val="39"/>
    <w:unhideWhenUsed/>
    <w:pPr>
      <w:ind w:left="1984" w:right="0" w:firstLine="0"/>
      <w:spacing w:after="57"/>
    </w:pPr>
  </w:style>
  <w:style w:type="paragraph" w:styleId="622">
    <w:name w:val="toc 9"/>
    <w:basedOn w:val="625"/>
    <w:next w:val="625"/>
    <w:uiPriority w:val="39"/>
    <w:unhideWhenUsed/>
    <w:pPr>
      <w:ind w:left="2268" w:right="0" w:firstLine="0"/>
      <w:spacing w:after="57"/>
    </w:pPr>
  </w:style>
  <w:style w:type="paragraph" w:styleId="623">
    <w:name w:val="TOC Heading"/>
    <w:uiPriority w:val="39"/>
    <w:unhideWhenUsed/>
  </w:style>
  <w:style w:type="paragraph" w:styleId="624">
    <w:name w:val="table of figures"/>
    <w:basedOn w:val="625"/>
    <w:next w:val="625"/>
    <w:uiPriority w:val="99"/>
    <w:unhideWhenUsed/>
    <w:pPr>
      <w:spacing w:after="0" w:afterAutospacing="0"/>
    </w:pPr>
  </w:style>
  <w:style w:type="paragraph" w:styleId="625" w:default="1">
    <w:name w:val="Normal"/>
    <w:qFormat/>
    <w:rPr>
      <w:rFonts w:ascii="Calibri" w:hAnsi="Calibri" w:cs="Times New Roman" w:eastAsia="Calibri"/>
    </w:rPr>
  </w:style>
  <w:style w:type="character" w:styleId="626" w:default="1">
    <w:name w:val="Default Paragraph Font"/>
    <w:uiPriority w:val="1"/>
    <w:semiHidden/>
    <w:unhideWhenUsed/>
  </w:style>
  <w:style w:type="table" w:styleId="627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8" w:default="1">
    <w:name w:val="No List"/>
    <w:uiPriority w:val="99"/>
    <w:semiHidden/>
    <w:unhideWhenUsed/>
  </w:style>
  <w:style w:type="paragraph" w:styleId="629">
    <w:name w:val="Normal (Web)"/>
    <w:basedOn w:val="625"/>
    <w:uiPriority w:val="99"/>
    <w:unhideWhenUsed/>
    <w:rPr>
      <w:rFonts w:ascii="Times New Roman" w:hAnsi="Times New Roman" w:eastAsia="Times New Roman"/>
      <w:sz w:val="24"/>
      <w:szCs w:val="24"/>
      <w:lang w:eastAsia="ru-RU"/>
    </w:rPr>
    <w:pPr>
      <w:spacing w:lineRule="auto" w:line="240" w:after="100" w:afterAutospacing="1" w:before="100" w:beforeAutospacing="1"/>
    </w:pPr>
  </w:style>
  <w:style w:type="paragraph" w:styleId="630" w:customStyle="1">
    <w:name w:val="Style10"/>
    <w:uiPriority w:val="99"/>
    <w:rPr>
      <w:rFonts w:ascii="Times New Roman" w:hAnsi="Times New Roman" w:cs="Times New Roman" w:eastAsia="Times New Roman"/>
      <w:b w:val="false"/>
      <w:bCs w:val="false"/>
      <w:i w:val="false"/>
      <w:iCs w:val="false"/>
      <w:caps w:val="false"/>
      <w:smallCaps w:val="false"/>
      <w:strike w:val="false"/>
      <w:vanish w:val="false"/>
      <w:color w:val="auto"/>
      <w:spacing w:val="0"/>
      <w:position w:val="0"/>
      <w:sz w:val="24"/>
      <w:szCs w:val="24"/>
      <w:u w:val="none"/>
      <w:vertAlign w:val="baseline"/>
      <w:rtl w:val="false"/>
      <w:cs w:val="false"/>
      <w:lang w:val="ru-RU" w:bidi="ar-SA" w:eastAsia="ru-RU"/>
    </w:rPr>
    <w:pPr>
      <w:contextualSpacing w:val="false"/>
      <w:ind w:left="0" w:right="0" w:firstLine="1032"/>
      <w:jc w:val="both"/>
      <w:keepLines w:val="false"/>
      <w:keepNext w:val="false"/>
      <w:pageBreakBefore w:val="false"/>
      <w:spacing w:lineRule="exact" w:line="322" w:after="0" w:afterAutospacing="0" w:before="0" w:beforeAutospacing="0"/>
      <w:shd w:val="nil" w:color="auto" w:fill="000000"/>
      <w:widowControl w:val="off"/>
      <w:pBdr>
        <w:left w:val="none" w:color="000000" w:sz="4" w:space="0"/>
        <w:top w:val="none" w:color="000000" w:sz="4" w:space="0"/>
        <w:right w:val="none" w:color="000000" w:sz="4" w:space="0"/>
        <w:bottom w:val="none" w:color="000000" w:sz="4" w:space="0"/>
        <w:between w:val="none" w:color="000000" w:sz="4" w:space="0"/>
      </w:pBdr>
    </w:pPr>
  </w:style>
  <w:style w:type="character" w:styleId="631" w:customStyle="1">
    <w:name w:val="extended-text__short"/>
  </w:style>
  <w:style w:type="character" w:styleId="632" w:customStyle="1">
    <w:name w:val="Font Style21"/>
    <w:uiPriority w:val="99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Р7-Офис/6.0.1.37</Application>
  <Company>Microsoft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mamonova_t</dc:creator>
  <cp:revision>7</cp:revision>
  <dcterms:created xsi:type="dcterms:W3CDTF">2021-01-18T12:43:00Z</dcterms:created>
  <dcterms:modified xsi:type="dcterms:W3CDTF">2025-01-17T08:27:31Z</dcterms:modified>
</cp:coreProperties>
</file>