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0C" w:rsidRPr="00F0440C" w:rsidRDefault="00F0440C" w:rsidP="00F044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</w:t>
      </w: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>о достигнутых значениях показателей для оценки</w:t>
      </w: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деятельности органов местного самоуправления </w:t>
      </w:r>
      <w:r w:rsidRPr="00F0440C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Pr="00F0440C">
        <w:rPr>
          <w:rFonts w:ascii="Times New Roman" w:eastAsia="Times New Roman" w:hAnsi="Times New Roman" w:cs="Times New Roman"/>
          <w:sz w:val="28"/>
          <w:szCs w:val="28"/>
        </w:rPr>
        <w:t xml:space="preserve"> за 2010 год и их планируемых значениях на 3-летний период</w:t>
      </w: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>Шварцман Николай Исхильевич</w:t>
      </w: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Горячий Ключ</w:t>
      </w: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40C" w:rsidRP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Подпись________________</w:t>
      </w: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C24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40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«___» _________20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04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40C" w:rsidRDefault="00F0440C" w:rsidP="00F0440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E45" w:rsidRDefault="004F4E45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Муниципальное образование город Горячий Ключ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799"/>
        <w:gridCol w:w="1145"/>
        <w:gridCol w:w="580"/>
        <w:gridCol w:w="660"/>
        <w:gridCol w:w="580"/>
        <w:gridCol w:w="580"/>
        <w:gridCol w:w="580"/>
        <w:gridCol w:w="1230"/>
      </w:tblGrid>
      <w:tr w:rsidR="00E41C24" w:rsidRPr="00E41C24" w:rsidTr="00E41C24">
        <w:trPr>
          <w:trHeight w:val="315"/>
          <w:tblCellSpacing w:w="0" w:type="dxa"/>
        </w:trPr>
        <w:tc>
          <w:tcPr>
            <w:tcW w:w="765" w:type="dxa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0" w:type="dxa"/>
            <w:gridSpan w:val="6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41C24" w:rsidRPr="00E41C24" w:rsidTr="00E41C24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Экономическое развитие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и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произведён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81AE5"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AF1093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AF1093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AF1093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AF1093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произведён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автомобильных дорог местного значения с твердым покрытием, переданных на техническое обслуживание немуниципальным и (или) негосударственным предприятиям на основе долгосрочных договоров (свыше трех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0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0F0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0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0F0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0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0F04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0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дорожное хозяйство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транспорт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 на 10000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общего годового объема заказов на поставку товаров, выполнение работ, оказание услуг для муниципальных нужд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предпринимательства,утвержденным ПостановлениемПравительства Российской Федерации от 4 ноября 2006 г. №642, размещенных путем проведения торгов, запроса котировок, участниками которых являются субъекты малого предпринимательства, в общем годовом объеме заказов на поставку товаров, выполнение работ, оказание услуг для муниципальных нужд в соответствии с указанным перечнем, размещенных путем проведения торгов,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0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2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зарегистрированных на территории муниципального образования бизнес- инкубаторов, промышленных парков, технопарков, научных парков, инновационно- технологических центров и иных объектов, относящихся к инфраструктуре поддержки субъектов малого и среднего предпринимательства, в расчете на 100 малых и средних компаний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развитие и поддержку малого и среднего предпринимательства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 в расчете на одно малое и среднее предприятие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инвестиционной привлекательности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предоставленных для строительства,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 для жилищного строительства,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комплексного освоения в целях жилищного строительства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земельных участков в городском округе (муниципальном районе), предоставленных для строительства (кроме жилищного) по результатам торгов, в общей площади земельных участков в городском округе (муниципальном районе), предоставленных для строительства (кроме жилищного)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31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земельных участков,находящихся в муниципальной собственности, а также государственная собственность на которые не разграничена, право постоянного (бессрочного) пользования которыми переоформлено в соответствии с требованиями Федерального закона "О введении в действие Земельного кодекса Российской Федерации", в общем количестве земельных участков, находящихся в муниципальной собственности, а также государственная собственность на которые не разграничена, право постоянного (бессрочного) пользования на которые подлежит переоформлению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продолжительность периода с даты подачи заявки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торгов (конкурсов, аукционов)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продолжительность периода с даты подачи заявки на получение разрешения на строительство до даты получения разрешения на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8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предоставленных для</w:t>
            </w:r>
            <w:r w:rsidR="00F7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 жилищного строительства - в течение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фактически используемых сельскохозяйственных угодий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сельскохозяйственных угодий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обрабатываемой пашни в общей площади пашни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населения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C24" w:rsidRPr="00E41C24" w:rsidTr="00E41C24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учреждений: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учителей 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прочего персонала муниципальных общеобразовательных учреждений (административно- управленческого, учебно- вспомогательного, младшего обслуживающего персонала, а также педагогических работников, не осуществляющих учебного процесса)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 здравоохранения: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10706,6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врачей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медицинского персонала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прочего персонала, в том числе младшего медицинского персонала,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Здравоохранение и здоровье населения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населения (17 лет истарше) профилактическими осмотрами на туберкулез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населения (17 лет и старше) профилактическими осмотрами на злокачественные новообразования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амбулаторных учреждений имеющих медицинское оборудование в соответствии с табелем оснащения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число амбулаторных учреждений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учреждений, применяющих стандарты оказания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учреждений, переведенных на новую (отраслевую) систему оплаты труда, ориентированную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учреждений, переведенных преимущественно на одноканальное финансирование через систему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медицинских учреждений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случаев смерти лиц в возрасте до 65 лет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случаев на 100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инфаркта миокарда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инсульта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первые сутки в стационаре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инфаркта миокарда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случаев на 100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инсульта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случаев смерти детей до 18 лет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первые сутки в стационаре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работающих (физических лиц) в муниципальных учреждениях здравоохранения в расчете на 10 тыс. человек населения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врачей (физических лиц) в муниципальных учреждениях здравоохранения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участковых врачей и врачей общей практики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среднего медицинского персонала (физических лиц) в муниципальных учреждениях здравоохранения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медицинских сестер, участковых и медицинских сестер, врачей общей практики в расчете на 10 тыс.человек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прочего персонала, в том числе младшего медицинского персонала, муниципальных учреждений здравоохранения в расчете на 10 тыс. 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продолжительность пребывания пациента на койке в круглосуточном стационаре муниципальных учреждений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коек в муниципальных учреждениях здравоохранения на 10 тыс.человек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стоимость 1 койко-дня в муниципальных учреждениях здравоохранения без учета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стоимость вызова скорой медицинской помощи без учета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медицинской помощи, предоставляемой муниципальными учреждениями здравоохранения, в расчете на одного жителя: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дневные стационары всех 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пациенто-дней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единицы объема оказанной медицинской помощи муниципальными учреждениями здравоохранения: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дневные стационары всех 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муниципальных учреждений здравоохранения, здания которых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здравоохранение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униципального образования на здравоохранение в части текущих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здравоохранение в части текущих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Дошкольное и 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дошкольного образования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3-7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3-7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численность детей в возрасте 3 - 7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от 3 до 7 лет в муниципальном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посещаемости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лиц с высшим профессиональным образованием в общей численности педагогических работников муниципальных дошкольных образовательных учреждений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бюджетамуниципального образования на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дошкольное образование в части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Общее и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общего образования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сдавших единый государственный экзамен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участвовавших в едином государственном экзамене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сдавших единый государственный экзамен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лиц, обучающихся в муниципальных общеобразовательных учреждениях,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лиц, обучающихся муниципальных общеобразовательных учреждениях,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учителей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учителей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8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существляющих учебного процесса) муниципальных общеобразовательных учреждений, расположенных в городской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8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учебного процесса) муниципальных общеобразовательных учреждений, расположенных в сельской местности (среднегодовая)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классов в муниципальных общеобразовательных учреждениях, расположенных в городской местности (среднегодовое)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классов в муниципальных общеобразовательных учреждениях, расположенных в сельской местности (среднегодовое)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стоимость содержания одного класса в муниципальных общеобразовательных учреждениях в городском округе (муниципальном районе)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1281,6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расходов бюджета муниципального образования на общее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общее образование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общее образование в части текущих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общее образование в части текущих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переведенных на нормативное подушевое финансирование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общеобразовательных учреждений, переведенных на новую (отраслевую) систему оплаты труда, ориентированную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возрасте 5 - 18 лет в городском округе (муниципальном районе)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дополнительное образование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дополнительное образование в части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V. Физическая культура и спорт</w:t>
            </w: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18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1837B7"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фактической обеспеченности учреждениями физической культуры и спорта в городском округе (муниципальном районе) от нормативной потребности: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спортивными залами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физическую культуру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1837B7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VI. Жилищное строительство и обеспечение граждан жильем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введенная в действие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жилых квартир в расчетена 1 тыс. человек населения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введенных в действие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жилищного строительства, предусмотренный в соответствии с выданными разрешениями на строительство жилых зданий: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кв.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жилых квартир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утверждения или внесения последних изменений: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генеральный план городского округа (схему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правила землепользования и застройки городского округа (административного центра 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комплексную программу развития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VII. 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жилищно-коммунальными услугами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муниципальным или государственным учреждением либо предприятием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3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31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(муниципального района), кроме товариществ собственников жилья, жилищных, жилищно-строительных кооперативов и иных специализированных потребительских кооперативов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4327AA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4327AA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4327AA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4327AA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4327AA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подписанных паспортов готовности по состоянию на 15 ноября отчетного года):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тарифов для промышленных потребителей к тарифам для населения: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убыточных организаций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жилищно-коммунальное хозяйство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289499,1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компенсацию разницы между экономически обоснованными тарифами и тарифами, установленными для населения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покрытие убытков, возникших в связи с применением регулируемых цен на жилищно-коммунальные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VIII. Организация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 (муниципальном районе)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участвующего в платных культурно-досуговых мероприятиях, организованных органами местного самоуправления городских округов и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парками культуры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культуру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культуру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культуру в части расходов на оплату труда и начислений на оплату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трудоустроенных граждан,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бюджета на 3 года (данный показатель оценивается, если субъект Российской Федерации перешел на 3-летний 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 на 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населения на конец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677977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части бюджетных инвестиций на 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консолидированного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расходов бюджета муниципального образования на содержание работников органов местного самоуправления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района), без учета субвенций на исполнение делегируемых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услуг, предоставляемых органами местного самоуправления, муниципальными учреждениями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первоочередных муниципальных услуг, предоставляемых органами местного самоуправления и муниципальными учреждениями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IX.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кВт·ч на 1проживающего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Гкал на 1 кв.метр общей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куб. метров на 1 проживающего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кВт·ч на 1человека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Гкал на 1 человека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куб. метров на 1 чел.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1C24" w:rsidRPr="00E41C24" w:rsidTr="00E41C24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1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4F4E45" w:rsidRDefault="00E41C24" w:rsidP="00E41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4E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1C24" w:rsidRPr="00E41C24" w:rsidRDefault="00E41C24" w:rsidP="00E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0440C" w:rsidRDefault="00F0440C" w:rsidP="00E41C24">
      <w:pPr>
        <w:spacing w:after="0" w:line="240" w:lineRule="auto"/>
        <w:rPr>
          <w:sz w:val="28"/>
          <w:szCs w:val="28"/>
        </w:rPr>
      </w:pPr>
    </w:p>
    <w:p w:rsidR="00E41C24" w:rsidRPr="00E41C24" w:rsidRDefault="00E41C24" w:rsidP="00E41C24">
      <w:pPr>
        <w:spacing w:after="0" w:line="240" w:lineRule="auto"/>
        <w:rPr>
          <w:rFonts w:ascii="Times New Roman" w:hAnsi="Times New Roman" w:cs="Times New Roman"/>
        </w:rPr>
      </w:pPr>
      <w:r w:rsidRPr="00E41C24">
        <w:rPr>
          <w:rFonts w:ascii="Times New Roman" w:hAnsi="Times New Roman" w:cs="Times New Roman"/>
        </w:rPr>
        <w:t>Ответственный за заполнение формы</w:t>
      </w:r>
    </w:p>
    <w:p w:rsidR="00E41C24" w:rsidRPr="00E41C24" w:rsidRDefault="00E41C24" w:rsidP="00E41C24">
      <w:pPr>
        <w:spacing w:after="0" w:line="240" w:lineRule="auto"/>
        <w:rPr>
          <w:rFonts w:ascii="Times New Roman" w:hAnsi="Times New Roman" w:cs="Times New Roman"/>
        </w:rPr>
      </w:pPr>
      <w:r w:rsidRPr="00E41C24">
        <w:rPr>
          <w:rFonts w:ascii="Times New Roman" w:hAnsi="Times New Roman" w:cs="Times New Roman"/>
        </w:rPr>
        <w:t>А.А. Храповицкий</w:t>
      </w:r>
    </w:p>
    <w:p w:rsidR="00E41C24" w:rsidRPr="00E41C24" w:rsidRDefault="00E41C24" w:rsidP="00E41C24">
      <w:pPr>
        <w:spacing w:after="0" w:line="240" w:lineRule="auto"/>
        <w:rPr>
          <w:rFonts w:ascii="Times New Roman" w:hAnsi="Times New Roman" w:cs="Times New Roman"/>
        </w:rPr>
      </w:pPr>
      <w:r w:rsidRPr="00E41C24">
        <w:rPr>
          <w:rFonts w:ascii="Times New Roman" w:hAnsi="Times New Roman" w:cs="Times New Roman"/>
        </w:rPr>
        <w:t>8-(861-59)-3-71-01</w:t>
      </w:r>
    </w:p>
    <w:p w:rsidR="00E41C24" w:rsidRDefault="00E41C24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4F4E45" w:rsidRDefault="004F4E45" w:rsidP="00E41C24">
      <w:pPr>
        <w:spacing w:after="0" w:line="240" w:lineRule="auto"/>
        <w:rPr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6C">
        <w:rPr>
          <w:rFonts w:ascii="Times New Roman" w:hAnsi="Times New Roman" w:cs="Times New Roman"/>
          <w:sz w:val="28"/>
          <w:szCs w:val="28"/>
        </w:rPr>
        <w:lastRenderedPageBreak/>
        <w:t xml:space="preserve">Текстовая часть доклада о достигнутых значениях  показателей для оценки  эффективности  деятельности органов местного самоуправления  муниципального образования город Горячий Ключ за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Pr="00702C6C">
        <w:rPr>
          <w:rFonts w:ascii="Times New Roman" w:hAnsi="Times New Roman" w:cs="Times New Roman"/>
          <w:sz w:val="28"/>
          <w:szCs w:val="28"/>
        </w:rPr>
        <w:t>год  и их планируемых значениях  на 3-летний период.</w:t>
      </w: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Pr="008A20D5" w:rsidRDefault="00E41C24" w:rsidP="00E41C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>Шварцман Николай Исхильевич</w:t>
      </w:r>
    </w:p>
    <w:p w:rsidR="00E41C24" w:rsidRPr="008A20D5" w:rsidRDefault="00E41C24" w:rsidP="00E41C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A20D5">
        <w:rPr>
          <w:rFonts w:ascii="Times New Roman" w:hAnsi="Times New Roman" w:cs="Times New Roman"/>
          <w:sz w:val="32"/>
          <w:szCs w:val="32"/>
        </w:rPr>
        <w:t>Муниципальное образование город Горячий Ключ</w:t>
      </w: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41C24" w:rsidRDefault="00E41C24" w:rsidP="00E41C2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E41C24" w:rsidRDefault="00E41C24" w:rsidP="00E41C2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______________2011г.</w:t>
      </w: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I. Экономическое развитие</w:t>
      </w:r>
    </w:p>
    <w:p w:rsidR="005A074F" w:rsidRPr="00295096" w:rsidRDefault="005A074F" w:rsidP="004F4E45">
      <w:pPr>
        <w:spacing w:after="0" w:line="240" w:lineRule="auto"/>
        <w:jc w:val="center"/>
        <w:rPr>
          <w:b/>
          <w:sz w:val="28"/>
          <w:szCs w:val="28"/>
        </w:rPr>
      </w:pP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Дорожное хозяйство и транспорт</w:t>
      </w:r>
    </w:p>
    <w:p w:rsidR="00047C8E" w:rsidRDefault="00047C8E" w:rsidP="004F4E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7C8E">
        <w:rPr>
          <w:rFonts w:ascii="Times New Roman" w:hAnsi="Times New Roman" w:cs="Times New Roman"/>
          <w:sz w:val="28"/>
          <w:szCs w:val="28"/>
        </w:rPr>
        <w:t>В 2011 году в ООО «Проект 23» заказаны проекты на 5 улиц в г</w:t>
      </w:r>
      <w:r w:rsidR="00883CDB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047C8E">
        <w:rPr>
          <w:rFonts w:ascii="Times New Roman" w:hAnsi="Times New Roman" w:cs="Times New Roman"/>
          <w:sz w:val="28"/>
          <w:szCs w:val="28"/>
        </w:rPr>
        <w:t xml:space="preserve">Горячий Ключ для выполнения работ капитального ремонта дороги </w:t>
      </w:r>
      <w:r w:rsidR="0073491A">
        <w:rPr>
          <w:rFonts w:ascii="Times New Roman" w:hAnsi="Times New Roman" w:cs="Times New Roman"/>
          <w:sz w:val="28"/>
          <w:szCs w:val="28"/>
        </w:rPr>
        <w:t>общей протяженностью 2км</w:t>
      </w:r>
      <w:r w:rsidRPr="00047C8E">
        <w:rPr>
          <w:rFonts w:ascii="Times New Roman" w:hAnsi="Times New Roman" w:cs="Times New Roman"/>
          <w:sz w:val="28"/>
          <w:szCs w:val="28"/>
        </w:rPr>
        <w:t>. На 2012 – 2013 годы также планируется заказать проекты на капитальный ремонт дорог.</w:t>
      </w:r>
    </w:p>
    <w:p w:rsidR="00925F17" w:rsidRPr="00925F17" w:rsidRDefault="00925F17" w:rsidP="004F4E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F17">
        <w:rPr>
          <w:rFonts w:ascii="Times New Roman" w:hAnsi="Times New Roman" w:cs="Times New Roman"/>
          <w:sz w:val="28"/>
          <w:szCs w:val="28"/>
        </w:rPr>
        <w:t>2. Ремонт автомобильных дорог производится ежегодно на аварийных участках улично-дорожной сети</w:t>
      </w:r>
      <w:r w:rsidR="00057317">
        <w:rPr>
          <w:rFonts w:ascii="Times New Roman" w:hAnsi="Times New Roman" w:cs="Times New Roman"/>
          <w:sz w:val="28"/>
          <w:szCs w:val="28"/>
        </w:rPr>
        <w:t xml:space="preserve"> (далее УДС)</w:t>
      </w:r>
      <w:r w:rsidRPr="00925F17">
        <w:rPr>
          <w:rFonts w:ascii="Times New Roman" w:hAnsi="Times New Roman" w:cs="Times New Roman"/>
          <w:sz w:val="28"/>
          <w:szCs w:val="28"/>
        </w:rPr>
        <w:t xml:space="preserve">. Текущий ремонт осуществляется для поддержания УДС на нормативном уровне. Регулярно проводится работа по определению дорог, требующих ремонта. В 2010 году этот показатель составил 0,6 процента. К 2013 году планируется увеличить долю до 1 процента. </w:t>
      </w:r>
    </w:p>
    <w:p w:rsidR="00081AE5" w:rsidRPr="000B0795" w:rsidRDefault="00081AE5" w:rsidP="004F4E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AE5">
        <w:rPr>
          <w:rFonts w:ascii="Times New Roman" w:hAnsi="Times New Roman" w:cs="Times New Roman"/>
          <w:sz w:val="28"/>
          <w:szCs w:val="28"/>
        </w:rPr>
        <w:t>3.</w:t>
      </w:r>
      <w:r w:rsidRPr="000B0795">
        <w:rPr>
          <w:rFonts w:ascii="Times New Roman" w:hAnsi="Times New Roman" w:cs="Times New Roman"/>
          <w:sz w:val="28"/>
          <w:szCs w:val="28"/>
        </w:rPr>
        <w:t xml:space="preserve"> 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автомобильных дорог местного значения с твердым покрытием, переданных на техническое обслуживание немуниципальным и (или) государственным предприятиям</w:t>
      </w:r>
      <w:r w:rsidR="000573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23 %. Они включают в себя магистральные дороги и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состоящие на балансе ГУ КК «Краснодаравтодор».</w:t>
      </w:r>
    </w:p>
    <w:p w:rsidR="00DE262E" w:rsidRDefault="00081AE5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81AE5">
        <w:rPr>
          <w:rFonts w:ascii="Times New Roman" w:hAnsi="Times New Roman" w:cs="Times New Roman"/>
          <w:sz w:val="28"/>
          <w:szCs w:val="28"/>
        </w:rPr>
        <w:t>Снижение доли населения, проживающе</w:t>
      </w:r>
      <w:r w:rsidR="00057317">
        <w:rPr>
          <w:rFonts w:ascii="Times New Roman" w:hAnsi="Times New Roman" w:cs="Times New Roman"/>
          <w:sz w:val="28"/>
          <w:szCs w:val="28"/>
        </w:rPr>
        <w:t>го</w:t>
      </w:r>
      <w:r w:rsidRPr="00081AE5">
        <w:rPr>
          <w:rFonts w:ascii="Times New Roman" w:hAnsi="Times New Roman" w:cs="Times New Roman"/>
          <w:sz w:val="28"/>
          <w:szCs w:val="28"/>
        </w:rPr>
        <w:t xml:space="preserve"> в населённых пунктах не имеющих регулярного автобусного сообщения (хуторах Красный Восток, П</w:t>
      </w:r>
      <w:r w:rsidR="005A074F">
        <w:rPr>
          <w:rFonts w:ascii="Times New Roman" w:hAnsi="Times New Roman" w:cs="Times New Roman"/>
          <w:sz w:val="28"/>
          <w:szCs w:val="28"/>
        </w:rPr>
        <w:t>а</w:t>
      </w:r>
      <w:r w:rsidRPr="00081AE5">
        <w:rPr>
          <w:rFonts w:ascii="Times New Roman" w:hAnsi="Times New Roman" w:cs="Times New Roman"/>
          <w:sz w:val="28"/>
          <w:szCs w:val="28"/>
        </w:rPr>
        <w:t>поротный, Северный), с 0,2 % в 2008 году до 0,</w:t>
      </w:r>
      <w:r w:rsidR="000F04BF">
        <w:rPr>
          <w:rFonts w:ascii="Times New Roman" w:hAnsi="Times New Roman" w:cs="Times New Roman"/>
          <w:sz w:val="28"/>
          <w:szCs w:val="28"/>
        </w:rPr>
        <w:t>05</w:t>
      </w:r>
      <w:r w:rsidRPr="00081AE5">
        <w:rPr>
          <w:rFonts w:ascii="Times New Roman" w:hAnsi="Times New Roman" w:cs="Times New Roman"/>
          <w:sz w:val="28"/>
          <w:szCs w:val="28"/>
        </w:rPr>
        <w:t>% в 2010 году связано с тем, что в при расчёте показателя в 2008 году учитывалась численность населения в отдельных населённых пунктах по данным учёта регистрации граждан по месту жительства. После уточнения данных в 2010 году с администрациями сельских округов, число фактически проживающих граждан в данных хуторах составило 54 человека против 98 человек в 2008 году. Основная часть граждан (30 человек) проживает в хуторе Красный Восток. На 2010-2012 годы запланированы поэтапные работы по ремонту грунтовой автодороги, ведущей к хутору Красный Восток и на территории хутора для обеспечения безопасности пассажирских перевозок и открытия регулярного автобусного маршрута.</w:t>
      </w:r>
    </w:p>
    <w:p w:rsidR="00D362C8" w:rsidRPr="00D362C8" w:rsidRDefault="00D362C8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2C8">
        <w:rPr>
          <w:rFonts w:ascii="Times New Roman" w:hAnsi="Times New Roman" w:cs="Times New Roman"/>
          <w:sz w:val="28"/>
          <w:szCs w:val="28"/>
        </w:rPr>
        <w:t>6.</w:t>
      </w:r>
      <w:r w:rsidRPr="00D362C8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D362C8">
        <w:rPr>
          <w:rFonts w:ascii="Times New Roman" w:hAnsi="Times New Roman" w:cs="Times New Roman"/>
          <w:sz w:val="28"/>
          <w:szCs w:val="28"/>
        </w:rPr>
        <w:t>В соответствии с приказом Минфина РФ от 31 августа 2010 г</w:t>
      </w:r>
      <w:r w:rsidR="00057317">
        <w:rPr>
          <w:rFonts w:ascii="Times New Roman" w:hAnsi="Times New Roman" w:cs="Times New Roman"/>
          <w:sz w:val="28"/>
          <w:szCs w:val="28"/>
        </w:rPr>
        <w:t xml:space="preserve">ода       </w:t>
      </w:r>
      <w:r w:rsidRPr="00D362C8">
        <w:rPr>
          <w:rFonts w:ascii="Times New Roman" w:hAnsi="Times New Roman" w:cs="Times New Roman"/>
          <w:sz w:val="28"/>
          <w:szCs w:val="28"/>
        </w:rPr>
        <w:t xml:space="preserve"> № 101н "О внесении изменений в Указания о порядке применения бюджетной классификации РФ, утвержденные приказом Минфина РФ от 30 декабря 2009г. № 150н"  - Расходы муниципального образования на дорожное хозяйст</w:t>
      </w:r>
      <w:r w:rsidR="00E908BB">
        <w:rPr>
          <w:rFonts w:ascii="Times New Roman" w:hAnsi="Times New Roman" w:cs="Times New Roman"/>
          <w:sz w:val="28"/>
          <w:szCs w:val="28"/>
        </w:rPr>
        <w:t>во отражаются по разделу 0500 "</w:t>
      </w:r>
      <w:r w:rsidRPr="00D362C8">
        <w:rPr>
          <w:rFonts w:ascii="Times New Roman" w:hAnsi="Times New Roman" w:cs="Times New Roman"/>
          <w:sz w:val="28"/>
          <w:szCs w:val="28"/>
        </w:rPr>
        <w:t>Жилищно</w:t>
      </w:r>
      <w:r w:rsidR="00E908BB">
        <w:rPr>
          <w:rFonts w:ascii="Times New Roman" w:hAnsi="Times New Roman" w:cs="Times New Roman"/>
          <w:sz w:val="28"/>
          <w:szCs w:val="28"/>
        </w:rPr>
        <w:t xml:space="preserve"> </w:t>
      </w:r>
      <w:r w:rsidRPr="00D362C8">
        <w:rPr>
          <w:rFonts w:ascii="Times New Roman" w:hAnsi="Times New Roman" w:cs="Times New Roman"/>
          <w:sz w:val="28"/>
          <w:szCs w:val="28"/>
        </w:rPr>
        <w:t>- коммунальное хозяйство", подраздел 0503 "Благоустройство".</w:t>
      </w: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малого и среднего предпринимательства</w:t>
      </w:r>
    </w:p>
    <w:p w:rsidR="00CD1E50" w:rsidRPr="00CD1E50" w:rsidRDefault="00CD1E50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 xml:space="preserve">10. Ожидаемый рост числа субъектов малого и среднего предпринимательства будет достигнут в результате создания условий, стимулирующих граждан к осуществлению предпринимательской деятельности, созданию новых предприятий, что так же позволит увеличить объемы налоговых поступлений в бюджеты всех уровней. </w:t>
      </w:r>
    </w:p>
    <w:p w:rsidR="00CD1E50" w:rsidRPr="00CD1E50" w:rsidRDefault="00CD1E50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>11. В результате создания новых субъектов малого и среднего предпринимательства планируется увеличение среднесписочной численности работников в среднем на 1 % в год.</w:t>
      </w:r>
    </w:p>
    <w:p w:rsidR="00CD1E50" w:rsidRPr="00CD1E50" w:rsidRDefault="00CD1E50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lastRenderedPageBreak/>
        <w:t>12. В связи с увеличением роста проводимых аукционов планируется увеличить количество поставщиков из числа субъектов малого и среднего предпринимательства.</w:t>
      </w:r>
    </w:p>
    <w:p w:rsidR="00CD1E50" w:rsidRPr="00CD1E50" w:rsidRDefault="00CD1E50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>13. Рост показателей планируется в связи с планируемым увеличением общей площади объектов муниципальной собственности и увеличением площади объектов, включенных в перечень муниципального имущества в целях предоставления его во владение или пользование на долгосрочной основе субъектам малого и среднего предпринимательства.</w:t>
      </w:r>
    </w:p>
    <w:p w:rsidR="00CD1E50" w:rsidRPr="00CD1E50" w:rsidRDefault="00CD1E50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>14. На основании утвержденной муниципальной целевой программы "Содействие развитию малого и среднего предпринимательства на территории муниципального образования город Горячий Ключ" предусмотрено субсидирование части затрат на приобретение основных средств и нематериальных активов на начальной стадии осуществления деятельности.</w:t>
      </w:r>
    </w:p>
    <w:p w:rsidR="00CD1E50" w:rsidRPr="00CD1E50" w:rsidRDefault="00CD1E50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50">
        <w:rPr>
          <w:rFonts w:ascii="Times New Roman" w:eastAsia="Times New Roman" w:hAnsi="Times New Roman" w:cs="Times New Roman"/>
          <w:sz w:val="28"/>
          <w:szCs w:val="28"/>
        </w:rPr>
        <w:t>15. На территории муниципального образования город Горячий Ключ зарегистрированных площадей не имеется. Для строительства бизнес- инкубаторов, промышленных парков, технопарков, научных парков, инновационно - технологических центров и иных объектов, относящихся к инфраструктуре поддержки субъектов малого и среднего предпринимательства в бюджете муниципального образования город Горячий Ключ финансирование не предусмотрено.</w:t>
      </w:r>
    </w:p>
    <w:p w:rsidR="00CD1E50" w:rsidRPr="001811A9" w:rsidRDefault="00CD1E50" w:rsidP="004F4E45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1811A9">
        <w:rPr>
          <w:rFonts w:ascii="Times New Roman" w:eastAsia="Times New Roman" w:hAnsi="Times New Roman" w:cs="Times New Roman"/>
          <w:sz w:val="28"/>
          <w:szCs w:val="28"/>
        </w:rPr>
        <w:t>16. На основании утвержденной муниципальной целевой программы "Содействие развитию малого и среднего предпринимательства в муниципальном образовании город Горячий Ключ на 2010-2012 годы" предусмотрено финансирование ряда мероприятий, которые способствуют росту числа субъектов малого и среднего предпринимательства и более эффективному развитию малого и среднего бизнеса на территории муниципального образования город Горячий Ключ.</w:t>
      </w: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16667A" w:rsidRDefault="0016667A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7A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Pr="0016667A">
        <w:rPr>
          <w:rFonts w:ascii="Times New Roman" w:eastAsia="Arial Unicode MS" w:hAnsi="Times New Roman" w:cs="Times New Roman"/>
          <w:sz w:val="17"/>
          <w:szCs w:val="17"/>
        </w:rPr>
        <w:t xml:space="preserve"> </w:t>
      </w:r>
      <w:r w:rsidRPr="0016667A">
        <w:rPr>
          <w:rFonts w:ascii="Times New Roman" w:eastAsia="Arial Unicode MS" w:hAnsi="Times New Roman" w:cs="Times New Roman"/>
          <w:sz w:val="28"/>
          <w:szCs w:val="28"/>
        </w:rPr>
        <w:t>Увеличение ч</w:t>
      </w:r>
      <w:r w:rsidRPr="0016667A">
        <w:rPr>
          <w:rFonts w:ascii="Times New Roman" w:eastAsia="Times New Roman" w:hAnsi="Times New Roman" w:cs="Times New Roman"/>
          <w:color w:val="000000"/>
          <w:sz w:val="28"/>
          <w:szCs w:val="28"/>
        </w:rPr>
        <w:t>исла прибыльных предприятий планируется за счет увеличения прибыли в ООО АПФ "Рубин", занимающегося мясным животноводством т.к. в 2011 году предприятию присвоен статус племенного хозяйства и ООО "Флора Кубань Голландия" - с 2011 года начинающее производство овощей, в 2012 году к числу прибыльных планируется отнести молодое свиноводческое хозяйство ООО "Нор"</w:t>
      </w:r>
      <w:r w:rsidR="00383B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6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 2013 года на уровень прибыльности планируется вывести ООРО "Лесторг-2" которое с 2011 года начинает деятельность по выращиванию овощей на капельном орошении.</w:t>
      </w:r>
    </w:p>
    <w:p w:rsidR="0016667A" w:rsidRDefault="0016667A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</w:t>
      </w:r>
      <w:r w:rsidRPr="0016667A">
        <w:rPr>
          <w:rFonts w:ascii="Times New Roman" w:eastAsia="Arial Unicode MS" w:hAnsi="Times New Roman" w:cs="Times New Roman"/>
          <w:sz w:val="28"/>
          <w:szCs w:val="28"/>
        </w:rPr>
        <w:t>В районе ведётся работа по привлечению инвесторов и созданию хозяйств  на  не используемых землях.</w:t>
      </w:r>
    </w:p>
    <w:p w:rsidR="0016667A" w:rsidRDefault="0016667A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26. </w:t>
      </w:r>
      <w:r w:rsidRPr="0016667A">
        <w:rPr>
          <w:rFonts w:ascii="Times New Roman" w:eastAsia="Arial Unicode MS" w:hAnsi="Times New Roman" w:cs="Times New Roman"/>
          <w:sz w:val="28"/>
          <w:szCs w:val="28"/>
        </w:rPr>
        <w:t>Снижение площади фактически используемых с/х угодий в 2010 году произошло из-за прекращения  обработк</w:t>
      </w:r>
      <w:r w:rsidR="00383B72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16667A">
        <w:rPr>
          <w:rFonts w:ascii="Times New Roman" w:eastAsia="Arial Unicode MS" w:hAnsi="Times New Roman" w:cs="Times New Roman"/>
          <w:sz w:val="28"/>
          <w:szCs w:val="28"/>
        </w:rPr>
        <w:t xml:space="preserve"> пашни в убыточных хозяйствах СПК "Урожай", СПК "Техцентр", ООО "Озон", части земель в ООО СХП "Приреченский"(отсутствие средств), ООО "Водник" (работа по переводу пашни в земли </w:t>
      </w:r>
      <w:r w:rsidR="00C2116A" w:rsidRPr="0016667A">
        <w:rPr>
          <w:rFonts w:ascii="Times New Roman" w:eastAsia="Arial Unicode MS" w:hAnsi="Times New Roman" w:cs="Times New Roman"/>
          <w:sz w:val="28"/>
          <w:szCs w:val="28"/>
        </w:rPr>
        <w:t>рекреации</w:t>
      </w:r>
      <w:r w:rsidRPr="0016667A">
        <w:rPr>
          <w:rFonts w:ascii="Times New Roman" w:eastAsia="Arial Unicode MS" w:hAnsi="Times New Roman" w:cs="Times New Roman"/>
          <w:sz w:val="28"/>
          <w:szCs w:val="28"/>
        </w:rPr>
        <w:t xml:space="preserve">). Начиная с 2011 года земли убыточных хозяйств переданы в аренду, увеличиваются площади обрабатываемых земель за счет организации </w:t>
      </w:r>
      <w:r w:rsidRPr="0016667A">
        <w:rPr>
          <w:rFonts w:ascii="Times New Roman" w:eastAsia="Arial Unicode MS" w:hAnsi="Times New Roman" w:cs="Times New Roman"/>
          <w:sz w:val="28"/>
          <w:szCs w:val="28"/>
        </w:rPr>
        <w:lastRenderedPageBreak/>
        <w:t>новых хозяйств и ввода в эксплуатацию земель ранее числившихся как "невостребованные земельные доли"</w:t>
      </w:r>
      <w:r w:rsidR="00C2116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2116A" w:rsidRDefault="00C2116A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27. </w:t>
      </w:r>
      <w:r w:rsidRPr="00C2116A">
        <w:rPr>
          <w:rFonts w:ascii="Times New Roman" w:eastAsia="Arial Unicode MS" w:hAnsi="Times New Roman" w:cs="Times New Roman"/>
          <w:sz w:val="28"/>
          <w:szCs w:val="28"/>
        </w:rPr>
        <w:t>Общая площадь сельскохозяйственных угодий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город Горячий Ключ в 2010 году составила </w:t>
      </w:r>
      <w:r w:rsidRPr="00C2116A">
        <w:rPr>
          <w:rFonts w:ascii="Times New Roman" w:eastAsia="Arial Unicode MS" w:hAnsi="Times New Roman" w:cs="Times New Roman"/>
          <w:sz w:val="28"/>
          <w:szCs w:val="28"/>
        </w:rPr>
        <w:t>19572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га. </w:t>
      </w:r>
      <w:r w:rsidRPr="00C2116A">
        <w:rPr>
          <w:rFonts w:ascii="Times New Roman" w:eastAsia="Arial Unicode MS" w:hAnsi="Times New Roman" w:cs="Times New Roman"/>
          <w:sz w:val="28"/>
          <w:szCs w:val="28"/>
        </w:rPr>
        <w:t>Перевод земель в категорию с/х угодий из других земель в районе не планируется, т.к. имеются резервы увеличения обрабатываемых (используемых) в с/хозяйстве земель за счет изымаемых "невостребованных паев" и реанимации не работающих хозяйств или не использующих часть своих земель.</w:t>
      </w:r>
    </w:p>
    <w:p w:rsidR="0016667A" w:rsidRPr="00295096" w:rsidRDefault="00C2116A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28. </w:t>
      </w:r>
      <w:r w:rsidRPr="00C2116A">
        <w:rPr>
          <w:rFonts w:ascii="Times New Roman" w:eastAsia="Arial Unicode MS" w:hAnsi="Times New Roman" w:cs="Times New Roman"/>
          <w:sz w:val="28"/>
          <w:szCs w:val="28"/>
        </w:rPr>
        <w:t>Количество обрабатываемой пашни планируется увеличивать по годам за счет организации новых хозяйств на землях ранее числившихся как " невостребованные земельные доли"</w:t>
      </w:r>
      <w:r w:rsidR="00383B72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C2116A">
        <w:rPr>
          <w:rFonts w:ascii="Times New Roman" w:eastAsia="Arial Unicode MS" w:hAnsi="Times New Roman" w:cs="Times New Roman"/>
          <w:sz w:val="28"/>
          <w:szCs w:val="28"/>
        </w:rPr>
        <w:t xml:space="preserve"> и за счет реанимации не работающих КФХ и мелких ООО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 населения</w:t>
      </w:r>
    </w:p>
    <w:p w:rsidR="0016667A" w:rsidRPr="0016667A" w:rsidRDefault="0016667A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667A">
        <w:rPr>
          <w:bCs/>
          <w:sz w:val="28"/>
          <w:szCs w:val="28"/>
        </w:rPr>
        <w:t xml:space="preserve">29. </w:t>
      </w:r>
      <w:r w:rsidRPr="0016667A">
        <w:rPr>
          <w:sz w:val="28"/>
          <w:szCs w:val="28"/>
        </w:rPr>
        <w:t>Снижение соотношения среднемесячной номинальной заработной платы работников муниципальных учреждений к заработной плате работников крупных и средних предприятий и некоммерческих организаций связано с опережением темпов роста заработной платы предприятий по сравнению с заработной платой бюджетных учреждений.</w:t>
      </w:r>
    </w:p>
    <w:p w:rsidR="0016667A" w:rsidRPr="0016667A" w:rsidRDefault="0016667A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667A">
        <w:rPr>
          <w:bCs/>
          <w:sz w:val="28"/>
          <w:szCs w:val="28"/>
        </w:rPr>
        <w:t>30.</w:t>
      </w:r>
      <w:r w:rsidRPr="0016667A">
        <w:rPr>
          <w:sz w:val="28"/>
          <w:szCs w:val="28"/>
        </w:rPr>
        <w:t xml:space="preserve"> В 2011 году ожидаемый рост среднемесячной номинальной заработной платы работников крупных и средних предприятий и некоммерческих организаций к 2010 году составит 6,8%. Данный результат будет достигнут благодаря проводимой работе по доведению средней заработной платы предприятий до среднекраевого показателя. В 2012 году по сравнению с предыдущим годом планируется увеличение среднемесячной номинальной заработной платы на 9,2 процента, в 2013 году, соответственно - на 8,9 процента.</w:t>
      </w:r>
    </w:p>
    <w:p w:rsidR="0016667A" w:rsidRDefault="0016667A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667A">
        <w:rPr>
          <w:sz w:val="28"/>
          <w:szCs w:val="28"/>
        </w:rPr>
        <w:t>В 2011 году среднемесячная номинальная заработная плата работников муниципальных дошкольных образовательных учреждений увеличится по сравнению с предыдущим годом на 4,1 процента, муниципальных общеобразовательных учреждений – на 2,4 процента, в 2012 году, соответственно – на 2,5 процента и 4,7 процента. В 2011 году среднемесячная номинальная заработная плата работников муниципальных учреждений здравоохранения составит 10026,2 руб., по сравнению с 2010 годом увеличится на 3 процента, в 2012 году по сравнению с предыдущим годом планируется увеличение на 2,6 процента. В 2013 году среднемесячная номинальная заработная плата работников муниципальных учреждений планируется на уровне 2012 года.</w:t>
      </w:r>
    </w:p>
    <w:p w:rsidR="005A074F" w:rsidRPr="0016667A" w:rsidRDefault="005A074F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Здравоохранение и здоровье населения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31. Удовлетворительность населения медицинской помощью100 % </w:t>
      </w:r>
      <w:r w:rsidR="001811A9">
        <w:rPr>
          <w:sz w:val="28"/>
          <w:szCs w:val="28"/>
        </w:rPr>
        <w:t>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32. Доля населения подлежащих осмотру на туберкулез в 2010 г. составила 99.9 % </w:t>
      </w:r>
      <w:r w:rsidR="00E86C30">
        <w:rPr>
          <w:sz w:val="28"/>
          <w:szCs w:val="28"/>
        </w:rPr>
        <w:t>(</w:t>
      </w:r>
      <w:r w:rsidRPr="00F303A1">
        <w:rPr>
          <w:sz w:val="28"/>
          <w:szCs w:val="28"/>
        </w:rPr>
        <w:t>от всего населения</w:t>
      </w:r>
      <w:r w:rsidR="00FF28A8">
        <w:rPr>
          <w:sz w:val="28"/>
          <w:szCs w:val="28"/>
        </w:rPr>
        <w:t xml:space="preserve"> 59.9%</w:t>
      </w:r>
      <w:r w:rsidR="00E86C30">
        <w:rPr>
          <w:sz w:val="28"/>
          <w:szCs w:val="28"/>
        </w:rPr>
        <w:t>)</w:t>
      </w:r>
      <w:r w:rsidR="00FF28A8">
        <w:rPr>
          <w:sz w:val="28"/>
          <w:szCs w:val="28"/>
        </w:rPr>
        <w:t>. Краевой показатель 2010</w:t>
      </w:r>
      <w:r w:rsidR="00E86C30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г</w:t>
      </w:r>
      <w:r w:rsidR="00E86C30">
        <w:rPr>
          <w:sz w:val="28"/>
          <w:szCs w:val="28"/>
        </w:rPr>
        <w:t>ода</w:t>
      </w:r>
      <w:r w:rsidRPr="00F303A1">
        <w:rPr>
          <w:sz w:val="28"/>
          <w:szCs w:val="28"/>
        </w:rPr>
        <w:t xml:space="preserve"> 54.8 % 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33. Доля населения осмотренного на злокачественные новообразования составила 37.7% от всего населения. Средний краевой показатель 2010 года 39,3%</w:t>
      </w:r>
      <w:r w:rsidR="00E86C30">
        <w:rPr>
          <w:sz w:val="28"/>
          <w:szCs w:val="28"/>
        </w:rPr>
        <w:t xml:space="preserve">, </w:t>
      </w:r>
      <w:r w:rsidRPr="00F303A1">
        <w:rPr>
          <w:sz w:val="28"/>
          <w:szCs w:val="28"/>
        </w:rPr>
        <w:t>средний краевой по округам 36%.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lastRenderedPageBreak/>
        <w:t>34. Число амбулаторных учреждений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имеющих медицинское оборудование в соответствии с табелем оснащения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увеличилось по сравнению с 2009 г</w:t>
      </w:r>
      <w:r w:rsidR="00E86C30">
        <w:rPr>
          <w:sz w:val="28"/>
          <w:szCs w:val="28"/>
        </w:rPr>
        <w:t xml:space="preserve">одом </w:t>
      </w:r>
      <w:r w:rsidRPr="00F303A1">
        <w:rPr>
          <w:sz w:val="28"/>
          <w:szCs w:val="28"/>
        </w:rPr>
        <w:t>на 100 % и составляет 75 % 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35. Число амбулаторных учреждений на прежнем уровне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36. Число муниципальных учреждений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применяющих стандарты оказания медицинской помощи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составляет 100 %.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37. Число муниципальных учреждений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переведенных на новую систему оплаты труда ориентированную на результат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составляет 100 % 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38. Число муниципальных учреждений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переведенных преимущественно на одноканальное финансировании через систему ОМС</w:t>
      </w:r>
      <w:r w:rsidR="00E86C30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составляет 100 % 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39. Число муниципальных медицинских учреждений городского округа осталось на прежнем уровне- 2 учреждения.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40. Число случаев смерти в возрасте до 65</w:t>
      </w:r>
      <w:r w:rsidR="00E86C30">
        <w:rPr>
          <w:sz w:val="28"/>
          <w:szCs w:val="28"/>
        </w:rPr>
        <w:t xml:space="preserve"> лет</w:t>
      </w:r>
      <w:r w:rsidRPr="00F303A1">
        <w:rPr>
          <w:sz w:val="28"/>
          <w:szCs w:val="28"/>
        </w:rPr>
        <w:t xml:space="preserve"> снижено по сравнению с 2009 г</w:t>
      </w:r>
      <w:r w:rsidR="00E86C30">
        <w:rPr>
          <w:sz w:val="28"/>
          <w:szCs w:val="28"/>
        </w:rPr>
        <w:t>одом</w:t>
      </w:r>
      <w:r w:rsidRPr="00F303A1">
        <w:rPr>
          <w:sz w:val="28"/>
          <w:szCs w:val="28"/>
        </w:rPr>
        <w:t xml:space="preserve"> на 2.5 % . В дальнейшем запланировано дальнейшее снижение данного показателя за счет улучшения качества оказания медицинской помощи.</w:t>
      </w:r>
      <w:r w:rsidR="00AE096D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 xml:space="preserve">Смертность на дому осталась на прежнем уровне, как и в 2009 году. Данный показатель в 2010 году составляет 4,2% на 100 тыс. населения в том числе: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- от инфаркта 2.1 на 100 тыс. населения, средний краевой показатель 2010 г</w:t>
      </w:r>
      <w:r w:rsidR="00E86C30">
        <w:rPr>
          <w:sz w:val="28"/>
          <w:szCs w:val="28"/>
        </w:rPr>
        <w:t xml:space="preserve">ода </w:t>
      </w:r>
      <w:r w:rsidRPr="00F303A1">
        <w:rPr>
          <w:sz w:val="28"/>
          <w:szCs w:val="28"/>
        </w:rPr>
        <w:t xml:space="preserve"> - 3.5 на 100 тыс. населения,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- от инсульта 2.1 на 100 тыс. населения, средний краевой показатель 2010 г</w:t>
      </w:r>
      <w:r w:rsidR="00E86C30">
        <w:rPr>
          <w:sz w:val="28"/>
          <w:szCs w:val="28"/>
        </w:rPr>
        <w:t xml:space="preserve">ода </w:t>
      </w:r>
      <w:r w:rsidRPr="00F303A1">
        <w:rPr>
          <w:sz w:val="28"/>
          <w:szCs w:val="28"/>
        </w:rPr>
        <w:t xml:space="preserve"> - 11.9 на 100 тыс. населения.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Летальность в первые сутки в стационаре составила в 2010 г</w:t>
      </w:r>
      <w:r w:rsidR="007C36D8">
        <w:rPr>
          <w:sz w:val="28"/>
          <w:szCs w:val="28"/>
        </w:rPr>
        <w:t>оду</w:t>
      </w:r>
      <w:r w:rsidRPr="00F303A1">
        <w:rPr>
          <w:sz w:val="28"/>
          <w:szCs w:val="28"/>
        </w:rPr>
        <w:t xml:space="preserve"> – 16,6% на 100 тыс. населения, что на 5,6 % ниже</w:t>
      </w:r>
      <w:r w:rsidR="007C36D8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чем в 2009 году. Средний краевой показатель 2010 г. -36,1% на 100 тыс. населения, в том числе: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- от инфаркта 2,1% на 100 тыс. населения средний краевой показатель 2010 года – 3,4 на 100 тыс. населения,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- от инсульта 2,1% на 100 тыс. населения, средний краевой показатель 2010 года – 5,9 на 100 тыс. населения.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В перспективе на 2012 - 2013 г</w:t>
      </w:r>
      <w:r w:rsidR="007C36D8">
        <w:rPr>
          <w:sz w:val="28"/>
          <w:szCs w:val="28"/>
        </w:rPr>
        <w:t>оды</w:t>
      </w:r>
      <w:r w:rsidRPr="00F303A1">
        <w:rPr>
          <w:sz w:val="28"/>
          <w:szCs w:val="28"/>
        </w:rPr>
        <w:t xml:space="preserve"> запланирован некоторый рост данных показаний стационаре ММУ ЦГБ</w:t>
      </w:r>
      <w:r w:rsidR="007C36D8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</w:t>
      </w:r>
      <w:r w:rsidR="007C36D8">
        <w:rPr>
          <w:sz w:val="28"/>
          <w:szCs w:val="28"/>
        </w:rPr>
        <w:t>в связи с</w:t>
      </w:r>
      <w:r w:rsidRPr="00F303A1">
        <w:rPr>
          <w:sz w:val="28"/>
          <w:szCs w:val="28"/>
        </w:rPr>
        <w:t xml:space="preserve"> открыти</w:t>
      </w:r>
      <w:r w:rsidR="007C36D8">
        <w:rPr>
          <w:sz w:val="28"/>
          <w:szCs w:val="28"/>
        </w:rPr>
        <w:t>ем</w:t>
      </w:r>
      <w:r w:rsidRPr="00F303A1">
        <w:rPr>
          <w:sz w:val="28"/>
          <w:szCs w:val="28"/>
        </w:rPr>
        <w:t xml:space="preserve"> кардиологического и неврологического межрайонных центров.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41. Число случаев смерти детей до 18 лет снизилось по сравнению с 2009 году на 45.3 % , в том числе на дому на 102 % . В стационаре в 2009 году и 2010 году летальность детей в</w:t>
      </w:r>
      <w:r w:rsidR="007C36D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 xml:space="preserve">первые сутки не зарегистрировано.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42. Число работающих в ММУ «Центральная городская больница» уменьшилось по сравнению с 2009 г</w:t>
      </w:r>
      <w:r w:rsidR="007C36D8">
        <w:rPr>
          <w:sz w:val="28"/>
          <w:szCs w:val="28"/>
        </w:rPr>
        <w:t>одом</w:t>
      </w:r>
      <w:r w:rsidRPr="00F303A1">
        <w:rPr>
          <w:sz w:val="28"/>
          <w:szCs w:val="28"/>
        </w:rPr>
        <w:t xml:space="preserve"> на 6.8 %</w:t>
      </w:r>
      <w:r w:rsidR="007C36D8">
        <w:rPr>
          <w:sz w:val="28"/>
          <w:szCs w:val="28"/>
        </w:rPr>
        <w:t>,</w:t>
      </w:r>
      <w:r w:rsidRPr="00F303A1">
        <w:rPr>
          <w:sz w:val="28"/>
          <w:szCs w:val="28"/>
        </w:rPr>
        <w:t xml:space="preserve"> обеспеченность медицинским персоналом составила 124,5% на 100 тыс. населения. Средний краевой показатель</w:t>
      </w:r>
      <w:r w:rsidR="007C36D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- 125,2% на 100 тыс. населения.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 xml:space="preserve">Причина снижения </w:t>
      </w:r>
      <w:r w:rsidR="007C36D8">
        <w:rPr>
          <w:sz w:val="28"/>
          <w:szCs w:val="28"/>
        </w:rPr>
        <w:t xml:space="preserve">- </w:t>
      </w:r>
      <w:r w:rsidRPr="00F303A1">
        <w:rPr>
          <w:sz w:val="28"/>
          <w:szCs w:val="28"/>
        </w:rPr>
        <w:t>уменьшение муниципального заказ задания на 2010 год</w:t>
      </w:r>
      <w:r w:rsidR="00AE096D">
        <w:rPr>
          <w:sz w:val="28"/>
          <w:szCs w:val="28"/>
        </w:rPr>
        <w:t>.</w:t>
      </w:r>
      <w:r w:rsidRPr="00F303A1">
        <w:rPr>
          <w:sz w:val="28"/>
          <w:szCs w:val="28"/>
        </w:rPr>
        <w:t xml:space="preserve">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Обеспеченность врачами в ММУ «Центральная городская больница» составляет 23,7% (ниже чем в 2009 году на 8,9%). Средний краевой показатель 2010 года 23,4, средний по округам 31,6 на 10 тыс. населения.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lastRenderedPageBreak/>
        <w:t>Обеспеченность участковыми врачами и врачами общей практики снизилось по сравнению с 2009 на 10% и составило 5,7 на 10 тыс. населения. Средний краевой показатель 4,8, средний по округам 5,2 на 10 тыс. населения.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Обеспеченность средним медицинским персоналом в городе Горячий Ключ снизилось по сравнению с 2009 годом на 12,1 % и составило 58,2 на 10 тыс. населения. Средний краевой показатель 2010 года составил 54,1, средний по округам 51,8 на 10 тыс. населения.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Обеспеченность участковыми медицинскими сестрами и сестрами врача общей практики практически остались </w:t>
      </w:r>
      <w:r w:rsidR="00562968">
        <w:rPr>
          <w:sz w:val="28"/>
          <w:szCs w:val="28"/>
        </w:rPr>
        <w:t>н</w:t>
      </w:r>
      <w:r w:rsidRPr="00F303A1">
        <w:rPr>
          <w:sz w:val="28"/>
          <w:szCs w:val="28"/>
        </w:rPr>
        <w:t>а уровне 2009 года и составила 6,03 на 10 ты</w:t>
      </w:r>
      <w:r w:rsidR="00562968">
        <w:rPr>
          <w:sz w:val="28"/>
          <w:szCs w:val="28"/>
        </w:rPr>
        <w:t>с</w:t>
      </w:r>
      <w:r w:rsidRPr="00F303A1">
        <w:rPr>
          <w:sz w:val="28"/>
          <w:szCs w:val="28"/>
        </w:rPr>
        <w:t xml:space="preserve">. </w:t>
      </w:r>
      <w:r w:rsidR="00562968">
        <w:rPr>
          <w:sz w:val="28"/>
          <w:szCs w:val="28"/>
        </w:rPr>
        <w:t>н</w:t>
      </w:r>
      <w:r w:rsidRPr="00F303A1">
        <w:rPr>
          <w:sz w:val="28"/>
          <w:szCs w:val="28"/>
        </w:rPr>
        <w:t xml:space="preserve">аселения. Средний краевой показатель 2010 года – 5,7, по округам 5,5 на 10 тыс. населения.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Обеспеченность ММУ «Центральная городская больница» прочим персоналом увеличилась по сравнению с 2009 годом на 26 человек по причине статистической ошибки и поэтому показатель по муниципальному образованию город Горячий Ключ составил 49,6 на 10 тыс. населения. Средний краевой 47,4, средний по округам 38,5 на 10 тыс. населения</w:t>
      </w:r>
      <w:r w:rsidR="00562968">
        <w:rPr>
          <w:sz w:val="28"/>
          <w:szCs w:val="28"/>
        </w:rPr>
        <w:t>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43. Средняя продолжительность пребывания пациента на койке в круглосуточном стационаре уменьшилась на 3,4 % и составила 8,9 дней. Средний краевой показатель 8,7 дней.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44. Среднегодовая занятость койки в ММУ «Центральная городская больница» в 2010 году уменьшилась до 332,8, на 6% меньше чем в 2009 году и приблизилась к средним краевым показателям 320, средний </w:t>
      </w:r>
      <w:r w:rsidR="009A36F3">
        <w:rPr>
          <w:sz w:val="28"/>
          <w:szCs w:val="28"/>
        </w:rPr>
        <w:t xml:space="preserve">показатель </w:t>
      </w:r>
      <w:r w:rsidRPr="00F303A1">
        <w:rPr>
          <w:sz w:val="28"/>
          <w:szCs w:val="28"/>
        </w:rPr>
        <w:t>по округам 336.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 xml:space="preserve">45. Число коек в муниципальном образовании город Горячий Ключ составило 46,6 на 10 тыс. населения. Средний краевой показатель 50,3, средний по округам 48,8. 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Показатель обеспеченности населения койками круглосуточного стационара один из самых низких в Краснодарском крае.</w:t>
      </w:r>
    </w:p>
    <w:p w:rsidR="00562968" w:rsidRDefault="00562968" w:rsidP="005629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48. Объемы медицинской помощи, предоставляемой муниципальными учреждениями здравоохранения, в расчете на одного жителя:</w:t>
      </w:r>
      <w:r>
        <w:rPr>
          <w:sz w:val="28"/>
          <w:szCs w:val="28"/>
        </w:rPr>
        <w:t xml:space="preserve"> с</w:t>
      </w:r>
      <w:r w:rsidRPr="00F303A1">
        <w:rPr>
          <w:sz w:val="28"/>
          <w:szCs w:val="28"/>
        </w:rPr>
        <w:t>тационарная медицинская помощь – в 2009 г</w:t>
      </w:r>
      <w:r>
        <w:rPr>
          <w:sz w:val="28"/>
          <w:szCs w:val="28"/>
        </w:rPr>
        <w:t xml:space="preserve">оду </w:t>
      </w:r>
      <w:r w:rsidRPr="00F303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1,564 к/дней в 2010 году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1,487 к/дней</w:t>
      </w:r>
      <w:r>
        <w:rPr>
          <w:sz w:val="28"/>
          <w:szCs w:val="28"/>
        </w:rPr>
        <w:t>; а</w:t>
      </w:r>
      <w:r w:rsidRPr="00F303A1">
        <w:rPr>
          <w:sz w:val="28"/>
          <w:szCs w:val="28"/>
        </w:rPr>
        <w:t>мбулаторная помощь -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в 2009 году -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7,983 посещени</w:t>
      </w:r>
      <w:r>
        <w:rPr>
          <w:sz w:val="28"/>
          <w:szCs w:val="28"/>
        </w:rPr>
        <w:t>й, в 2010 году - 7,868 посещений; д</w:t>
      </w:r>
      <w:r w:rsidRPr="00F303A1">
        <w:rPr>
          <w:sz w:val="28"/>
          <w:szCs w:val="28"/>
        </w:rPr>
        <w:t>невные стационары всех типов – в 20</w:t>
      </w:r>
      <w:r>
        <w:rPr>
          <w:sz w:val="28"/>
          <w:szCs w:val="28"/>
        </w:rPr>
        <w:t>1</w:t>
      </w:r>
      <w:r w:rsidRPr="00F303A1">
        <w:rPr>
          <w:sz w:val="28"/>
          <w:szCs w:val="28"/>
        </w:rPr>
        <w:t>0 г</w:t>
      </w:r>
      <w:r>
        <w:rPr>
          <w:sz w:val="28"/>
          <w:szCs w:val="28"/>
        </w:rPr>
        <w:t xml:space="preserve">оду </w:t>
      </w:r>
      <w:r w:rsidRPr="00F303A1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F303A1">
        <w:rPr>
          <w:sz w:val="28"/>
          <w:szCs w:val="28"/>
        </w:rPr>
        <w:t>,4</w:t>
      </w:r>
      <w:r>
        <w:rPr>
          <w:sz w:val="28"/>
          <w:szCs w:val="28"/>
        </w:rPr>
        <w:t>79 п/дней, в 2010 году - 0,431п/дней; с</w:t>
      </w:r>
      <w:r w:rsidRPr="00F303A1">
        <w:rPr>
          <w:sz w:val="28"/>
          <w:szCs w:val="28"/>
        </w:rPr>
        <w:t>корая медицинская помощь –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в 2009 г</w:t>
      </w:r>
      <w:r>
        <w:rPr>
          <w:sz w:val="28"/>
          <w:szCs w:val="28"/>
        </w:rPr>
        <w:t xml:space="preserve">оду </w:t>
      </w:r>
      <w:r w:rsidRPr="00F303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0,310</w:t>
      </w:r>
      <w:r>
        <w:rPr>
          <w:sz w:val="28"/>
          <w:szCs w:val="28"/>
        </w:rPr>
        <w:t xml:space="preserve"> вызовов в 2010 году - 0,306 вызовов; о</w:t>
      </w:r>
      <w:r w:rsidRPr="00F303A1">
        <w:rPr>
          <w:sz w:val="28"/>
          <w:szCs w:val="28"/>
        </w:rPr>
        <w:t>бъемные показатели за 2009 год рассчитаны на численность населения -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55716 чел.</w:t>
      </w:r>
      <w:r>
        <w:rPr>
          <w:sz w:val="28"/>
          <w:szCs w:val="28"/>
        </w:rPr>
        <w:t>; в</w:t>
      </w:r>
      <w:r w:rsidRPr="00F303A1">
        <w:rPr>
          <w:sz w:val="28"/>
          <w:szCs w:val="28"/>
        </w:rPr>
        <w:t xml:space="preserve"> 2010 году в связи с предоставлением статистиче</w:t>
      </w:r>
      <w:r>
        <w:rPr>
          <w:sz w:val="28"/>
          <w:szCs w:val="28"/>
        </w:rPr>
        <w:t>ских данных переписи населения</w:t>
      </w:r>
      <w:r w:rsidRPr="00F303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объемные показатели рассчитывались на численность населения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56398 чел., что повлекло снижение по</w:t>
      </w:r>
      <w:r>
        <w:rPr>
          <w:sz w:val="28"/>
          <w:szCs w:val="28"/>
        </w:rPr>
        <w:t>казателей в расчете на 1 жителя.</w:t>
      </w:r>
    </w:p>
    <w:p w:rsidR="00F303A1" w:rsidRP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Стоимость единицы объема</w:t>
      </w:r>
      <w:r w:rsidRPr="00F303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оказанной медицинской помощи :</w:t>
      </w:r>
      <w:r>
        <w:rPr>
          <w:sz w:val="28"/>
          <w:szCs w:val="28"/>
        </w:rPr>
        <w:t xml:space="preserve"> с</w:t>
      </w:r>
      <w:r w:rsidRPr="00F303A1">
        <w:rPr>
          <w:sz w:val="28"/>
          <w:szCs w:val="28"/>
        </w:rPr>
        <w:t>тационарная медицинская помощь – в 2009 г</w:t>
      </w:r>
      <w:r w:rsidR="00562968">
        <w:rPr>
          <w:sz w:val="28"/>
          <w:szCs w:val="28"/>
        </w:rPr>
        <w:t xml:space="preserve">оду </w:t>
      </w:r>
      <w:r w:rsidRPr="00F303A1">
        <w:rPr>
          <w:sz w:val="28"/>
          <w:szCs w:val="28"/>
        </w:rPr>
        <w:t>-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1055,01руб</w:t>
      </w:r>
      <w:r>
        <w:rPr>
          <w:sz w:val="28"/>
          <w:szCs w:val="28"/>
        </w:rPr>
        <w:t>лей, в 2010 году-1038,17 рублей; п</w:t>
      </w:r>
      <w:r w:rsidRPr="00F303A1">
        <w:rPr>
          <w:sz w:val="28"/>
          <w:szCs w:val="28"/>
        </w:rPr>
        <w:t>о Территориальной програ</w:t>
      </w:r>
      <w:r>
        <w:rPr>
          <w:sz w:val="28"/>
          <w:szCs w:val="28"/>
        </w:rPr>
        <w:t>мме ГГ на 2010 год</w:t>
      </w:r>
      <w:r w:rsidR="00562968">
        <w:rPr>
          <w:sz w:val="28"/>
          <w:szCs w:val="28"/>
        </w:rPr>
        <w:t xml:space="preserve"> - </w:t>
      </w:r>
      <w:r>
        <w:rPr>
          <w:sz w:val="28"/>
          <w:szCs w:val="28"/>
        </w:rPr>
        <w:t>1079,71</w:t>
      </w:r>
      <w:r w:rsidR="0056296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а</w:t>
      </w:r>
      <w:r w:rsidRPr="00F303A1">
        <w:rPr>
          <w:sz w:val="28"/>
          <w:szCs w:val="28"/>
        </w:rPr>
        <w:t>мбулаторная помощь -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в 2009 году -134 рубля, в 2010 году -114,6 рублей</w:t>
      </w:r>
      <w:r>
        <w:rPr>
          <w:sz w:val="28"/>
          <w:szCs w:val="28"/>
        </w:rPr>
        <w:t>; п</w:t>
      </w:r>
      <w:r w:rsidRPr="00F303A1">
        <w:rPr>
          <w:sz w:val="28"/>
          <w:szCs w:val="28"/>
        </w:rPr>
        <w:t>о Территориальной программе ГГ на 2010 год 160,86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рублей</w:t>
      </w:r>
      <w:r>
        <w:rPr>
          <w:sz w:val="28"/>
          <w:szCs w:val="28"/>
        </w:rPr>
        <w:t>; д</w:t>
      </w:r>
      <w:r w:rsidRPr="00F303A1">
        <w:rPr>
          <w:sz w:val="28"/>
          <w:szCs w:val="28"/>
        </w:rPr>
        <w:t>невные стацио</w:t>
      </w:r>
      <w:r w:rsidRPr="00F303A1">
        <w:rPr>
          <w:sz w:val="28"/>
          <w:szCs w:val="28"/>
        </w:rPr>
        <w:lastRenderedPageBreak/>
        <w:t>нары всех типов – в 20</w:t>
      </w:r>
      <w:r w:rsidR="00562968">
        <w:rPr>
          <w:sz w:val="28"/>
          <w:szCs w:val="28"/>
        </w:rPr>
        <w:t>1</w:t>
      </w:r>
      <w:r w:rsidRPr="00F303A1">
        <w:rPr>
          <w:sz w:val="28"/>
          <w:szCs w:val="28"/>
        </w:rPr>
        <w:t>0 г</w:t>
      </w:r>
      <w:r w:rsidR="00562968">
        <w:rPr>
          <w:sz w:val="28"/>
          <w:szCs w:val="28"/>
        </w:rPr>
        <w:t xml:space="preserve">оду </w:t>
      </w:r>
      <w:r w:rsidRPr="00F303A1">
        <w:rPr>
          <w:sz w:val="28"/>
          <w:szCs w:val="28"/>
        </w:rPr>
        <w:t>-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210,78 рублей, в 2010 г-203,9 рубля</w:t>
      </w:r>
      <w:r>
        <w:rPr>
          <w:sz w:val="28"/>
          <w:szCs w:val="28"/>
        </w:rPr>
        <w:t>; п</w:t>
      </w:r>
      <w:r w:rsidRPr="00F303A1">
        <w:rPr>
          <w:sz w:val="28"/>
          <w:szCs w:val="28"/>
        </w:rPr>
        <w:t>о Территориальной программе ГГ на 2010 год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-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276,94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рублей</w:t>
      </w:r>
      <w:r>
        <w:rPr>
          <w:sz w:val="28"/>
          <w:szCs w:val="28"/>
        </w:rPr>
        <w:t>; с</w:t>
      </w:r>
      <w:r w:rsidRPr="00F303A1">
        <w:rPr>
          <w:sz w:val="28"/>
          <w:szCs w:val="28"/>
        </w:rPr>
        <w:t>нижение показателей обусловлено снижением кассовых расходов по ОМС и уменьшением муниципального заказа-задания на 2010 год по сравнению с 2009 г. на 3,4 млн.руб.</w:t>
      </w:r>
      <w:r>
        <w:rPr>
          <w:sz w:val="28"/>
          <w:szCs w:val="28"/>
        </w:rPr>
        <w:t>; с</w:t>
      </w:r>
      <w:r w:rsidRPr="00F303A1">
        <w:rPr>
          <w:sz w:val="28"/>
          <w:szCs w:val="28"/>
        </w:rPr>
        <w:t>корая медицинская помощь –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в 2009 г</w:t>
      </w:r>
      <w:r w:rsidR="00562968">
        <w:rPr>
          <w:sz w:val="28"/>
          <w:szCs w:val="28"/>
        </w:rPr>
        <w:t xml:space="preserve">оду </w:t>
      </w:r>
      <w:r w:rsidRPr="00F303A1">
        <w:rPr>
          <w:sz w:val="28"/>
          <w:szCs w:val="28"/>
        </w:rPr>
        <w:t>-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653,97 рублей в 2010 г</w:t>
      </w:r>
      <w:r w:rsidR="00562968">
        <w:rPr>
          <w:sz w:val="28"/>
          <w:szCs w:val="28"/>
        </w:rPr>
        <w:t xml:space="preserve">оду </w:t>
      </w:r>
      <w:r w:rsidRPr="00F303A1">
        <w:rPr>
          <w:sz w:val="28"/>
          <w:szCs w:val="28"/>
        </w:rPr>
        <w:t>- 833,08 рублей</w:t>
      </w:r>
      <w:r>
        <w:rPr>
          <w:sz w:val="28"/>
          <w:szCs w:val="28"/>
        </w:rPr>
        <w:t>; п</w:t>
      </w:r>
      <w:r w:rsidRPr="00F303A1">
        <w:rPr>
          <w:sz w:val="28"/>
          <w:szCs w:val="28"/>
        </w:rPr>
        <w:t>о территориальной программе ГГ на 2010 год -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821,38 рубль</w:t>
      </w:r>
      <w:r>
        <w:rPr>
          <w:sz w:val="28"/>
          <w:szCs w:val="28"/>
        </w:rPr>
        <w:t>.</w:t>
      </w:r>
    </w:p>
    <w:p w:rsidR="00D176D2" w:rsidRPr="00D176D2" w:rsidRDefault="00D176D2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D176D2">
        <w:rPr>
          <w:sz w:val="28"/>
          <w:szCs w:val="28"/>
        </w:rPr>
        <w:t xml:space="preserve">Снижение расходов в 2011 году по сравнению с 2010 годом произошло в связи с тем, что в 2010 году </w:t>
      </w:r>
      <w:r w:rsidR="00562968">
        <w:rPr>
          <w:sz w:val="28"/>
          <w:szCs w:val="28"/>
        </w:rPr>
        <w:t>муниципальное образование</w:t>
      </w:r>
      <w:r w:rsidRPr="00D176D2">
        <w:rPr>
          <w:sz w:val="28"/>
          <w:szCs w:val="28"/>
        </w:rPr>
        <w:t xml:space="preserve"> город Горячий Ключ выделялись краевые средства на решение социально</w:t>
      </w:r>
      <w:r w:rsidR="00562968">
        <w:rPr>
          <w:sz w:val="28"/>
          <w:szCs w:val="28"/>
        </w:rPr>
        <w:t xml:space="preserve"> </w:t>
      </w:r>
      <w:r w:rsidRPr="00D176D2">
        <w:rPr>
          <w:sz w:val="28"/>
          <w:szCs w:val="28"/>
        </w:rPr>
        <w:t>-</w:t>
      </w:r>
      <w:r w:rsidR="00562968">
        <w:rPr>
          <w:sz w:val="28"/>
          <w:szCs w:val="28"/>
        </w:rPr>
        <w:t xml:space="preserve"> </w:t>
      </w:r>
      <w:r w:rsidRPr="00D176D2">
        <w:rPr>
          <w:sz w:val="28"/>
          <w:szCs w:val="28"/>
        </w:rPr>
        <w:t>значимых вопросов в сумме 6950,0 т.р.</w:t>
      </w:r>
    </w:p>
    <w:p w:rsidR="00F303A1" w:rsidRDefault="00F303A1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3A1">
        <w:rPr>
          <w:sz w:val="28"/>
          <w:szCs w:val="28"/>
        </w:rPr>
        <w:t>54.</w:t>
      </w:r>
      <w:r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Общий объем расходов бюджета муниципального образования на здравоохранение в части текущего расхода на оплату труда и начисления на оплату труда. В 2009 год</w:t>
      </w:r>
      <w:r w:rsidR="00D176D2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-</w:t>
      </w:r>
      <w:r w:rsidR="00D176D2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31328,7 тыс. руб. ,2010</w:t>
      </w:r>
      <w:r w:rsidR="00562968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год</w:t>
      </w:r>
      <w:r w:rsidR="00D176D2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-</w:t>
      </w:r>
      <w:r w:rsidR="00D176D2">
        <w:rPr>
          <w:sz w:val="28"/>
          <w:szCs w:val="28"/>
        </w:rPr>
        <w:t xml:space="preserve"> </w:t>
      </w:r>
      <w:r w:rsidRPr="00F303A1">
        <w:rPr>
          <w:sz w:val="28"/>
          <w:szCs w:val="28"/>
        </w:rPr>
        <w:t>29313,1 тыс. руб. Снижение данного показателя связано с проведением оптимизации расходов на оплату труда.</w:t>
      </w:r>
    </w:p>
    <w:p w:rsidR="005A074F" w:rsidRPr="00F303A1" w:rsidRDefault="005A074F" w:rsidP="004F4E4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Дошкольное и дополнительное образование детей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6776">
        <w:rPr>
          <w:rFonts w:ascii="Times New Roman" w:hAnsi="Times New Roman"/>
          <w:sz w:val="28"/>
        </w:rPr>
        <w:t xml:space="preserve">56-60. В 2010 году продолжают развиваться вариативные формы дошкольного и дополнительного образования. Функционируют группы кратковременного пребывания, открываются семейные группы. За счет этого увеличилась численность детей в возрасте от 3 до 7 лет, получающих дошкольную образовательную услугу. Но потребность в дошкольном образовании существует. 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6776">
        <w:rPr>
          <w:rFonts w:ascii="Times New Roman" w:hAnsi="Times New Roman"/>
          <w:sz w:val="28"/>
        </w:rPr>
        <w:t>Увеличить численность детей в возрасте от трех до семи лет (от пяти до семи лет), получающих дошкольную образовательную услугу</w:t>
      </w:r>
      <w:r w:rsidR="00562968">
        <w:rPr>
          <w:rFonts w:ascii="Times New Roman" w:hAnsi="Times New Roman"/>
          <w:sz w:val="28"/>
        </w:rPr>
        <w:t>,</w:t>
      </w:r>
      <w:r w:rsidRPr="00A46776">
        <w:rPr>
          <w:rFonts w:ascii="Times New Roman" w:hAnsi="Times New Roman"/>
          <w:sz w:val="28"/>
        </w:rPr>
        <w:t xml:space="preserve"> планируется за счет: строительства ДОУ № 8 на 230 мест; реконструкции здания ДОУ № 14 с вводом</w:t>
      </w:r>
      <w:r w:rsidR="00562968">
        <w:rPr>
          <w:rFonts w:ascii="Times New Roman" w:hAnsi="Times New Roman"/>
          <w:sz w:val="28"/>
        </w:rPr>
        <w:t xml:space="preserve"> на</w:t>
      </w:r>
      <w:r w:rsidRPr="00A46776">
        <w:rPr>
          <w:rFonts w:ascii="Times New Roman" w:hAnsi="Times New Roman"/>
          <w:sz w:val="28"/>
        </w:rPr>
        <w:t xml:space="preserve"> 20 мест; пристройки к ДОУ № 9 на 40 мест; капитального ремонта здания начальной школы №6 с вводом 80 мест,  здания МДОУ №15 с вводом 40 мест, здания МДОУ №11 с вводом 40 мест; увеличения количества семейных детских садов. 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6776">
        <w:rPr>
          <w:rFonts w:ascii="Times New Roman" w:hAnsi="Times New Roman"/>
          <w:sz w:val="28"/>
        </w:rPr>
        <w:t xml:space="preserve">61.  На территории муниципального образования функционируют 17 ДОУ. Все дошкольные образовательные учреждения - муниципальные (100%).  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A46776">
        <w:rPr>
          <w:rFonts w:ascii="Times New Roman" w:hAnsi="Times New Roman"/>
          <w:sz w:val="28"/>
        </w:rPr>
        <w:t>62. Наблюдается увеличение доли лиц с высшим профессиональным образованием в общей численности педагогических работников муниципальных дошкольных учреждений.</w:t>
      </w:r>
    </w:p>
    <w:p w:rsidR="00D176D2" w:rsidRDefault="00D176D2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176D2">
        <w:rPr>
          <w:rFonts w:ascii="Times New Roman" w:eastAsia="Arial Unicode MS" w:hAnsi="Times New Roman" w:cs="Times New Roman"/>
          <w:sz w:val="28"/>
          <w:szCs w:val="28"/>
        </w:rPr>
        <w:t xml:space="preserve">64-66. Рост расходов в 2011 году по сравнению с 2010 годом произошло в связи с тем, что в 2011 году </w:t>
      </w:r>
      <w:r w:rsidR="00562968">
        <w:rPr>
          <w:rFonts w:ascii="Times New Roman" w:eastAsia="Arial Unicode MS" w:hAnsi="Times New Roman" w:cs="Times New Roman"/>
          <w:sz w:val="28"/>
          <w:szCs w:val="28"/>
        </w:rPr>
        <w:t>муниципальному образованию</w:t>
      </w:r>
      <w:r w:rsidRPr="00D176D2">
        <w:rPr>
          <w:rFonts w:ascii="Times New Roman" w:eastAsia="Arial Unicode MS" w:hAnsi="Times New Roman" w:cs="Times New Roman"/>
          <w:sz w:val="28"/>
          <w:szCs w:val="28"/>
        </w:rPr>
        <w:t xml:space="preserve"> город Горячий Ключ выделены краевые средства в сумме 62,3 млн.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76D2">
        <w:rPr>
          <w:rFonts w:ascii="Times New Roman" w:eastAsia="Arial Unicode MS" w:hAnsi="Times New Roman" w:cs="Times New Roman"/>
          <w:sz w:val="28"/>
          <w:szCs w:val="28"/>
        </w:rPr>
        <w:t>руб.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76D2">
        <w:rPr>
          <w:rFonts w:ascii="Times New Roman" w:eastAsia="Arial Unicode MS" w:hAnsi="Times New Roman" w:cs="Times New Roman"/>
          <w:sz w:val="28"/>
          <w:szCs w:val="28"/>
        </w:rPr>
        <w:t>на развитие системы дошкольного образования</w:t>
      </w:r>
      <w:r w:rsidR="0056296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A074F" w:rsidRPr="00D176D2" w:rsidRDefault="005A074F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Общее и дополнительное образование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bCs/>
          <w:sz w:val="28"/>
          <w:szCs w:val="28"/>
        </w:rPr>
        <w:t>69.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Доля лиц, сдавших единый государственный экзамен, в числе выпускников общеобразовательных учреждений муниципального образования город Горячий Ключ в 2010</w:t>
      </w:r>
      <w:r w:rsidR="00394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945CC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 xml:space="preserve"> составил 99% в связи с тем, что учащиеся не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преодолели «порог успешности» и получили неудовлетворительные оценки. В 2011, 2012, 2013 годах прогнозируется постепенный рост доли  лиц, сдавших единый государственный экзамен.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70,71,72,73.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Численность выпускников муниципальных общеобразовательных учреждений, участвовавших в едином государственном экзамене  по русскому языку и математике</w:t>
      </w:r>
      <w:r w:rsidR="00394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 xml:space="preserve"> возросла от 147  учащихся в 2010 году  до 278 в 2011 году. Это связано с тем, что был осуществлен переход  с десятилетнего на одиннадцатилетнее образование.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74. Численность выпускников муниципальных общеобразовательных учреждений, не получивших аттестат о среднем (полном) образовании снизилась от 4 учащихся в 2009 году до 3 выпускников в 2010 году.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76. Доля учителей муниципальных общеобразовательных учреждений, имеющих стаж педагогической работы до 5 лет, в общей численности учителей не снижается.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77,78. Количество муниципальных общеобразовательных учреждений, расположенных в городской и сельской  местности не изменяется и не планируется изменений в 2011 году.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79.  Муниципальных общеобразовательных учреждений, здания которых находятся в аварийном состоянии или требуют капитального ремонта  нет.</w:t>
      </w:r>
    </w:p>
    <w:p w:rsid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80,81. Численность лиц, обучающихся в муниципальных общеобразовательных учреждениях, расположенных в городской и сельской местности незначительно увеличивается: 2009год- 5276, 2010 год- 5330.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82.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Численность детей первой и второй группы здоровья в общей численности обучающихся в муниципальных общеобразовательных учреждениях снизилась от 11 до 7.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83,84.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муниципальных образовательных учреждений, расположенных в городской и сельской местности</w:t>
      </w:r>
      <w:r w:rsidR="003945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 xml:space="preserve"> остается на прежнем уровне.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85,86.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учителей муниципальных общеобразовательных учреждений, расположенных в городской и сельской местности увеличилась</w:t>
      </w:r>
      <w:r w:rsidR="003945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от161 до186 в городской местности, от 189 до 201 в сельской местности</w:t>
      </w:r>
      <w:r w:rsidR="003945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87,88.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прочего персонала муниципальных общеобразовательных учреждений, расположенных в городской и сельской местности уменьшилась от 98 до 69 в городе и от 186 до 130 в сельской местности.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 xml:space="preserve">89, 90. Количество классов в муниципальных общеобразовательных учреждениях увеличилось: 2009 год – 158, 2010 год – 262.  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bCs/>
          <w:sz w:val="28"/>
          <w:szCs w:val="28"/>
        </w:rPr>
        <w:t xml:space="preserve">96. </w:t>
      </w:r>
      <w:r w:rsidRPr="00A46776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муниципального образования переведены на нормативно - подушевое финансирование и новую оплату системы труда, ориентированную на результат</w:t>
      </w:r>
      <w:r w:rsidR="00394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776" w:rsidRPr="00A46776" w:rsidRDefault="00A46776" w:rsidP="004F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776">
        <w:rPr>
          <w:rFonts w:ascii="Times New Roman" w:eastAsia="Times New Roman" w:hAnsi="Times New Roman" w:cs="Times New Roman"/>
          <w:sz w:val="28"/>
          <w:szCs w:val="28"/>
        </w:rPr>
        <w:t>98. Численность детей, получающих услуги по дополнительному образованию в организациях различной организационно-правовой формы и формы собственности увеличилось от 5176 детей  до 5273 детей.</w:t>
      </w:r>
    </w:p>
    <w:p w:rsidR="009C550B" w:rsidRPr="009C550B" w:rsidRDefault="009C550B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550B">
        <w:rPr>
          <w:rFonts w:ascii="Times New Roman" w:eastAsia="Arial Unicode MS" w:hAnsi="Times New Roman" w:cs="Times New Roman"/>
          <w:sz w:val="28"/>
          <w:szCs w:val="28"/>
        </w:rPr>
        <w:lastRenderedPageBreak/>
        <w:t>92-95. Снижение расходов  в 2010 году по сравнению с 2009 годом произошло в связи с тем, что в 2009 году МО город Горячий Ключ выделены краевые средства на решение социально-значимых вопросов в сумме 10502,0 т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 xml:space="preserve">ыс. </w:t>
      </w:r>
      <w:r w:rsidRPr="009C550B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>уб.</w:t>
      </w:r>
      <w:r w:rsidR="00546EA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550B">
        <w:rPr>
          <w:rFonts w:ascii="Times New Roman" w:eastAsia="Arial Unicode MS" w:hAnsi="Times New Roman" w:cs="Times New Roman"/>
          <w:sz w:val="28"/>
          <w:szCs w:val="28"/>
        </w:rPr>
        <w:t>и средства федерального бюджета на модернизацию образования в сумме 2210,2 т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 xml:space="preserve">ыс. </w:t>
      </w:r>
      <w:r w:rsidRPr="009C550B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9C550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46EA3" w:rsidRDefault="00546EA3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EA3">
        <w:rPr>
          <w:rFonts w:ascii="Times New Roman" w:hAnsi="Times New Roman" w:cs="Times New Roman"/>
          <w:sz w:val="28"/>
          <w:szCs w:val="28"/>
        </w:rPr>
        <w:t xml:space="preserve">100-102. Снижение расходов  в 2010 году по сравнению с 2009 годом произошло в связи с тем, что в 2009 году </w:t>
      </w:r>
      <w:r w:rsidR="009D55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46EA3">
        <w:rPr>
          <w:rFonts w:ascii="Times New Roman" w:hAnsi="Times New Roman" w:cs="Times New Roman"/>
          <w:sz w:val="28"/>
          <w:szCs w:val="28"/>
        </w:rPr>
        <w:t xml:space="preserve"> город Горячий Ключ выделены краевые средства в сумме 9,0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hAnsi="Times New Roman" w:cs="Times New Roman"/>
          <w:sz w:val="28"/>
          <w:szCs w:val="28"/>
        </w:rPr>
        <w:t>на решение социально-значимых вопросов (ремонт ДЮСШ 1)</w:t>
      </w:r>
      <w:r w:rsidR="009D55A0">
        <w:rPr>
          <w:rFonts w:ascii="Times New Roman" w:hAnsi="Times New Roman" w:cs="Times New Roman"/>
          <w:sz w:val="28"/>
          <w:szCs w:val="28"/>
        </w:rPr>
        <w:t>.</w:t>
      </w:r>
    </w:p>
    <w:p w:rsidR="00A36734" w:rsidRPr="00546EA3" w:rsidRDefault="00A36734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Физическая культура и спорт</w:t>
      </w:r>
    </w:p>
    <w:p w:rsidR="0032191F" w:rsidRDefault="0032191F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Pr="006D2DAB">
        <w:rPr>
          <w:rFonts w:ascii="Times New Roman" w:hAnsi="Times New Roman" w:cs="Times New Roman"/>
          <w:sz w:val="28"/>
          <w:szCs w:val="28"/>
        </w:rPr>
        <w:t>Численность лиц</w:t>
      </w:r>
      <w:r>
        <w:rPr>
          <w:rFonts w:ascii="Times New Roman" w:hAnsi="Times New Roman" w:cs="Times New Roman"/>
          <w:sz w:val="28"/>
          <w:szCs w:val="28"/>
        </w:rPr>
        <w:t xml:space="preserve">, систематически занимающихся физической культурой и спортом, ежегодно  будет увеличиваться на 3 % от общего количества населения муниципального образования город Горячий Ключ за счет введения ставок спортивных инструкторов по физической культуре в сельских округах (концу 2011 года планируется привлечь 15973 чел., что составит 28%;  в 2012 г.- 17685 чел.- 31%;  в 2013г. – 19398 чел., что составит 34%). </w:t>
      </w:r>
    </w:p>
    <w:p w:rsidR="0032191F" w:rsidRDefault="0032191F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 Уровень фактической обеспеченности учреждениями физической культуры и спорта от нормативной потребности  спортивными залами  в 2011</w:t>
      </w:r>
      <w:r w:rsidR="009D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55A0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,  2012</w:t>
      </w:r>
      <w:r w:rsidR="009D55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и  в 2013 г</w:t>
      </w:r>
      <w:r w:rsidR="009D55A0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 составит 18,9 % (на прежнем уровне)  в связи с тем, что не планируется строительство новых спортивных залов. Уровень фактической обеспеченности учреждениями физической культуры и спорта от нормативной потребности  плоскостными спортивными сооружениями в 2011 г. составит 44%, в 2012 г</w:t>
      </w:r>
      <w:r w:rsidR="009D55A0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-  44,1%, в 2013 г</w:t>
      </w:r>
      <w:r w:rsidR="009D55A0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– 44,2%. Увеличение происходит за счет строительства новых  многофункциональных спортивно- игровых  площадок   на территории  МОУ ООШ №7 пос. Приреченский, МОУ ООШ №9 ст. Суздальская.</w:t>
      </w:r>
    </w:p>
    <w:p w:rsidR="0032191F" w:rsidRDefault="0032191F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Общий объем расходов бюджета муниципального образования город Горячий Ключ на физическую  культуру  и спорт составит  в 2011 и 2012 г</w:t>
      </w:r>
      <w:r w:rsidR="009D55A0">
        <w:rPr>
          <w:rFonts w:ascii="Times New Roman" w:hAnsi="Times New Roman" w:cs="Times New Roman"/>
          <w:sz w:val="28"/>
          <w:szCs w:val="28"/>
        </w:rPr>
        <w:t>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805">
        <w:rPr>
          <w:rFonts w:ascii="Times New Roman" w:hAnsi="Times New Roman" w:cs="Times New Roman"/>
          <w:sz w:val="28"/>
          <w:szCs w:val="28"/>
        </w:rPr>
        <w:t>6505</w:t>
      </w:r>
      <w:r>
        <w:rPr>
          <w:rFonts w:ascii="Times New Roman" w:hAnsi="Times New Roman" w:cs="Times New Roman"/>
          <w:sz w:val="28"/>
          <w:szCs w:val="28"/>
        </w:rPr>
        <w:t xml:space="preserve"> тыс. руб.,  в 2013 г</w:t>
      </w:r>
      <w:r w:rsidR="009D55A0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будет увеличено на 3000,0  тыс. руб. и составит  9505 тыс. руб.</w:t>
      </w:r>
    </w:p>
    <w:p w:rsidR="00A36734" w:rsidRDefault="00A36734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Жилищное строительство и обеспечение граждан жильем</w:t>
      </w:r>
    </w:p>
    <w:p w:rsidR="0018282B" w:rsidRDefault="0018282B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106-107. Увеличение общей площади жилых помещений и числа жилых квартир по средствам строительства нового жилья, а также в связи с реализацией ряда программ по улучшению жилищных условий граждан на территории муниципального образования: по переселению из аварийного жилья; программ субсидирования при строительстве (приобретении) жилья.</w:t>
      </w:r>
    </w:p>
    <w:p w:rsidR="00A94FF0" w:rsidRPr="00A94FF0" w:rsidRDefault="00A94FF0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94FF0">
        <w:rPr>
          <w:rFonts w:ascii="Times New Roman" w:hAnsi="Times New Roman" w:cs="Times New Roman"/>
          <w:sz w:val="28"/>
          <w:szCs w:val="28"/>
        </w:rPr>
        <w:t>108.</w:t>
      </w:r>
      <w:r w:rsidRPr="00A9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FF0">
        <w:rPr>
          <w:rFonts w:ascii="Times New Roman" w:eastAsia="Arial Unicode MS" w:hAnsi="Times New Roman" w:cs="Times New Roman"/>
          <w:sz w:val="28"/>
          <w:szCs w:val="28"/>
        </w:rPr>
        <w:t>Объем жилищного строительства, предусмотренный в соответствии с выданными разрешениями на строительство жилых зданий. В соответствии с плановым заданием департамента строительства Краснодарского края плановый показатель ввода жилья на территории  муниципального образования город Горячий Ключ на 2010 год составляет 57,7 тыс. кв. м, что составляет 100% от планового показателя.</w:t>
      </w: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VII. Жилищно-коммунальное хозяйство</w:t>
      </w:r>
    </w:p>
    <w:p w:rsidR="00A94FF0" w:rsidRPr="00F5006E" w:rsidRDefault="00A94FF0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55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 xml:space="preserve"> 2008 по 2010 год проводилась работа с собственниками многоквартирных домов на территории муниципального образования город Горячий Ключ, что позволило значительно снизить долю домов выбравших непосредственное управление собственниками помещений в многоквартирном доме</w:t>
      </w:r>
      <w:r w:rsidR="009D55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 xml:space="preserve"> и увеличить доли домов</w:t>
      </w:r>
      <w:r w:rsidR="009D55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 xml:space="preserve"> управляемых товариществом собственников жилья и управляющими организациями</w:t>
      </w:r>
      <w:r w:rsidR="009D55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 xml:space="preserve"> с долей участия в уставном капитале субъекта Российской Федерации и (или) городского округа (муниципального района) не более 25 процентов.</w:t>
      </w:r>
      <w:r w:rsidR="00AE0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06E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муниципального образования город Горячий Ключ нет муниципальных либо государственных управляющих организаций.</w:t>
      </w:r>
    </w:p>
    <w:p w:rsidR="00A94FF0" w:rsidRPr="000011C0" w:rsidRDefault="00A94FF0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C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Горячий Ключ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предприятий, осуществляющих свою деятельность в сфере жилищно-коммунального хозяйства, из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предприятия муниципальной формы собственности,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предприятия частной формы собственности, отношение составляет -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011C0">
        <w:rPr>
          <w:rFonts w:ascii="Times New Roman" w:hAnsi="Times New Roman" w:cs="Times New Roman"/>
          <w:sz w:val="28"/>
          <w:szCs w:val="28"/>
        </w:rPr>
        <w:t>%</w:t>
      </w:r>
    </w:p>
    <w:p w:rsidR="00A94FF0" w:rsidRPr="000011C0" w:rsidRDefault="00A94FF0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113.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Доля организаций, осуществляющих управление многоквартирными домами и оказание услуг по содержанию и обслуживанию многоквартирного жилого фонда, участие субъекта Российской Федерации и (или) в уставном капитале который составляет не более 25 процентов, в общем числе организаций, осуществляющих данные виды деятельности на территории муниципального образования город Горячий Ключ - составляет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011C0">
        <w:rPr>
          <w:rFonts w:ascii="Times New Roman" w:hAnsi="Times New Roman" w:cs="Times New Roman"/>
          <w:sz w:val="28"/>
          <w:szCs w:val="28"/>
        </w:rPr>
        <w:t xml:space="preserve"> %, так как осуществляет деятельность ООО Управляющая организация "Горячий Ключ"</w:t>
      </w:r>
      <w:r>
        <w:rPr>
          <w:rFonts w:ascii="Times New Roman" w:hAnsi="Times New Roman" w:cs="Times New Roman"/>
          <w:sz w:val="28"/>
          <w:szCs w:val="28"/>
        </w:rPr>
        <w:t xml:space="preserve"> и ТСЖ от общего количества домов</w:t>
      </w:r>
      <w:r w:rsidRPr="00001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FF0" w:rsidRPr="000011C0" w:rsidRDefault="00A94FF0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115.</w:t>
      </w:r>
      <w:r w:rsidRPr="000011C0">
        <w:rPr>
          <w:rFonts w:ascii="Times New Roman" w:hAnsi="Times New Roman" w:cs="Times New Roman"/>
          <w:sz w:val="28"/>
          <w:szCs w:val="28"/>
        </w:rPr>
        <w:t xml:space="preserve"> Уровень собираемости платежей за жилищно-коммунальные услуги </w:t>
      </w:r>
      <w:r>
        <w:rPr>
          <w:rFonts w:ascii="Times New Roman" w:hAnsi="Times New Roman" w:cs="Times New Roman"/>
          <w:sz w:val="28"/>
          <w:szCs w:val="28"/>
        </w:rPr>
        <w:t>в 2010 году составил</w:t>
      </w:r>
      <w:r w:rsidRPr="0000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90,6%, снижение по сравнению с 2009 годом на 2,3% произошло</w:t>
      </w:r>
      <w:r w:rsidR="009D5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организационными мероприятиями по переходу на единую квитанцию, организацией доставки квитанции до потребителя.</w:t>
      </w:r>
    </w:p>
    <w:p w:rsidR="00A94FF0" w:rsidRPr="000011C0" w:rsidRDefault="00A94FF0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116.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Процент подписания паспортов готовности жилищного фонда и котельных - 100 %, готовится 1 паспорт готовности на жилищный фонд и котельные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FF0" w:rsidRDefault="00A94FF0" w:rsidP="004F4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6F3">
        <w:rPr>
          <w:rFonts w:ascii="Times New Roman" w:hAnsi="Times New Roman" w:cs="Times New Roman"/>
          <w:sz w:val="28"/>
          <w:szCs w:val="28"/>
        </w:rPr>
        <w:t>117.</w:t>
      </w:r>
      <w:r w:rsidRPr="000011C0">
        <w:rPr>
          <w:rFonts w:ascii="Times New Roman" w:hAnsi="Times New Roman" w:cs="Times New Roman"/>
          <w:sz w:val="28"/>
          <w:szCs w:val="28"/>
        </w:rPr>
        <w:t xml:space="preserve"> Отношение тарифов промышленных потребителей к тарифам для населения по оплате услуг за водоснабжение и водоотведение - 100 %, утверждены равные тарифы для промышленных потребителей и населения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EA3" w:rsidRDefault="00546EA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121. </w:t>
      </w:r>
      <w:r w:rsidR="00A94FF0" w:rsidRPr="00A94FF0">
        <w:rPr>
          <w:rFonts w:ascii="Times New Roman" w:eastAsia="Arial Unicode MS" w:hAnsi="Times New Roman" w:cs="Times New Roman"/>
          <w:sz w:val="28"/>
          <w:szCs w:val="28"/>
        </w:rPr>
        <w:t>Общий объем расходов бюджета муниципального образования на жилищно-коммунальное хозяйство</w:t>
      </w:r>
      <w:r w:rsidR="00A94FF0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Снижение показателей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произошло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за счет того, что в 2009 и 2010 г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одах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  выделялись средства из краевого бюджета, фонда реформирования ЖКХ на капитальный ремонт жилых многоквартирных домов и переселение граждан из ветхого и аварийного жилого фонда в сумме 129170,5 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. В 2011-2013 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годах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 средства не выделялись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F4E45" w:rsidRDefault="004F4E45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36734" w:rsidRDefault="00A36734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36734" w:rsidRPr="00546EA3" w:rsidRDefault="00A36734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096" w:rsidRDefault="00295096" w:rsidP="004F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VIII. Организация муниципального управления</w:t>
      </w:r>
    </w:p>
    <w:p w:rsidR="00546EA3" w:rsidRDefault="00546EA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6EA3">
        <w:rPr>
          <w:rFonts w:ascii="Times New Roman" w:eastAsia="Arial Unicode MS" w:hAnsi="Times New Roman" w:cs="Times New Roman"/>
          <w:sz w:val="28"/>
          <w:szCs w:val="28"/>
        </w:rPr>
        <w:t>124. Доля НДФЛ в структуре доходов снизилась в 2010 году по сравнению с 2009 годом на 3,8% за счет сокращения на 30,0 % численности военнослужащих по контракту в воинских частях. Сумма утвержденной на 2010 год расчетной дотации из РФФП, заменяемая доп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>олнительным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 нормативом от НДФЛ по плану составляла 61183,0</w:t>
      </w:r>
      <w:r w:rsidR="0062084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2084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 От фактически поступившей суммы НДФЛ по доп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>олнительному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 xml:space="preserve"> нормативу зачислено в местный бюджет 54948,2</w:t>
      </w:r>
      <w:r w:rsidR="0062084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9D55A0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., ниже плана на 6238,0</w:t>
      </w:r>
      <w:r w:rsidR="0062084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546EA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20843" w:rsidRDefault="0062084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128-130.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Снижение показателей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произошло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за счет того, что из краевого бюджета выделялись средства  на финансирование краевых целевых программ, оказывалась дополнительная помощь на решение социально-значимых вопросов в 2009 (6150,0 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.) и 2010 (3240,0т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.)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и привлекались средства предприятий и населения города на проведение общегородских мероприятий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9945,0 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 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14525,1 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 соответственно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20843" w:rsidRDefault="0062084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138.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Общий объем расходов бюджета муниципального образования. Снижение </w:t>
      </w:r>
      <w:r>
        <w:rPr>
          <w:rFonts w:ascii="Times New Roman" w:eastAsia="Arial Unicode MS" w:hAnsi="Times New Roman" w:cs="Times New Roman"/>
          <w:sz w:val="28"/>
          <w:szCs w:val="28"/>
        </w:rPr>
        <w:t>показател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я произошло за счет того, что из краевого бюджета выделялись средства  на финансирование краевых целевых программ, оказывалась дополнительная помощь на решение социально-значимых вопросов в 2009 (6150,0 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.) и 2010 (3240,0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.) и привлекались средства предприятий и населения города на проведение общегородских мероприятий 9945,0 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 и 14525,1 т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034BF">
        <w:rPr>
          <w:rFonts w:ascii="Times New Roman" w:eastAsia="Arial Unicode MS" w:hAnsi="Times New Roman" w:cs="Times New Roman"/>
          <w:sz w:val="28"/>
          <w:szCs w:val="28"/>
        </w:rPr>
        <w:t>уб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 соответственно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A074F" w:rsidRDefault="0062084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139.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Общий объем расходов бюджета муниципального образования на содержание работников органов местного самоуправления. Рост показателя содержание работников ОМС  в 2010-2013 г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одах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произошел по следующим причинам: </w:t>
      </w:r>
    </w:p>
    <w:p w:rsidR="005A074F" w:rsidRDefault="0062084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20843">
        <w:rPr>
          <w:rFonts w:ascii="Times New Roman" w:eastAsia="Arial Unicode MS" w:hAnsi="Times New Roman" w:cs="Times New Roman"/>
          <w:sz w:val="28"/>
          <w:szCs w:val="28"/>
        </w:rPr>
        <w:t>1. Расходы на содержание работников ОМС за 2009-2010 г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оды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- это кассовые расходы на фактически занятую численность. Показатель 2011-2013г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одов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 - это плановый расчет на численность работников по утвержденному штатному расписанию; </w:t>
      </w:r>
    </w:p>
    <w:p w:rsidR="005A074F" w:rsidRDefault="0062084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20843">
        <w:rPr>
          <w:rFonts w:ascii="Times New Roman" w:eastAsia="Arial Unicode MS" w:hAnsi="Times New Roman" w:cs="Times New Roman"/>
          <w:sz w:val="28"/>
          <w:szCs w:val="28"/>
        </w:rPr>
        <w:t>2.</w:t>
      </w:r>
      <w:r w:rsidR="00CD1E5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Произошло увеличение численности работников и расходов на их содержание, в связи с передачей госполномочий на местный уровень и переводом </w:t>
      </w:r>
      <w:r w:rsidR="00AD19D2">
        <w:rPr>
          <w:rFonts w:ascii="Times New Roman" w:eastAsia="Arial Unicode MS" w:hAnsi="Times New Roman" w:cs="Times New Roman"/>
          <w:sz w:val="28"/>
          <w:szCs w:val="28"/>
        </w:rPr>
        <w:t xml:space="preserve">фин.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 xml:space="preserve">управлений в подчинение ОМС, что потребовало увеличение штатной численности и расходов на их содержание.     </w:t>
      </w:r>
    </w:p>
    <w:p w:rsidR="005A074F" w:rsidRDefault="00620843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20843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CD1E5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Расходы на содержание работников ОМС не превышают норматив, установленный постановлением главы (губернатора) КК от 28.07.2011года № 636 на 2011 год" (108292,0  т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ыс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D1E5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843">
        <w:rPr>
          <w:rFonts w:ascii="Times New Roman" w:eastAsia="Arial Unicode MS" w:hAnsi="Times New Roman" w:cs="Times New Roman"/>
          <w:sz w:val="28"/>
          <w:szCs w:val="28"/>
        </w:rPr>
        <w:t>руб</w:t>
      </w:r>
      <w:r w:rsidR="00CD1E50">
        <w:rPr>
          <w:rFonts w:ascii="Times New Roman" w:eastAsia="Arial Unicode MS" w:hAnsi="Times New Roman" w:cs="Times New Roman"/>
          <w:sz w:val="28"/>
          <w:szCs w:val="28"/>
        </w:rPr>
        <w:t xml:space="preserve">.) </w:t>
      </w:r>
    </w:p>
    <w:p w:rsidR="00620843" w:rsidRDefault="00CD1E50" w:rsidP="004F4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17"/>
          <w:szCs w:val="17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4. </w:t>
      </w:r>
      <w:r w:rsidR="00620843" w:rsidRPr="00620843">
        <w:rPr>
          <w:rFonts w:ascii="Times New Roman" w:eastAsia="Arial Unicode MS" w:hAnsi="Times New Roman" w:cs="Times New Roman"/>
          <w:sz w:val="28"/>
          <w:szCs w:val="28"/>
        </w:rPr>
        <w:t>Расходы в 2011-2013 г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одах</w:t>
      </w:r>
      <w:r w:rsidR="00620843" w:rsidRPr="00620843">
        <w:rPr>
          <w:rFonts w:ascii="Times New Roman" w:eastAsia="Arial Unicode MS" w:hAnsi="Times New Roman" w:cs="Times New Roman"/>
          <w:sz w:val="28"/>
          <w:szCs w:val="28"/>
        </w:rPr>
        <w:t xml:space="preserve"> будут снижены, т.к. принято постановление администрации 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 Горячий Ключ</w:t>
      </w:r>
      <w:r w:rsidR="00620843" w:rsidRPr="00620843">
        <w:rPr>
          <w:rFonts w:ascii="Times New Roman" w:eastAsia="Arial Unicode MS" w:hAnsi="Times New Roman" w:cs="Times New Roman"/>
          <w:sz w:val="28"/>
          <w:szCs w:val="28"/>
        </w:rPr>
        <w:t xml:space="preserve"> от 10.03.2011 № 414 "  О мерах по повышению эффективности работы муниципальных служащих и работников, замещающих должности, не относящиеся к должностям муниципальной службы </w:t>
      </w:r>
      <w:r w:rsidR="005A074F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</w:t>
      </w:r>
      <w:r w:rsidR="00620843" w:rsidRPr="00620843">
        <w:rPr>
          <w:rFonts w:ascii="Times New Roman" w:eastAsia="Arial Unicode MS" w:hAnsi="Times New Roman" w:cs="Times New Roman"/>
          <w:sz w:val="28"/>
          <w:szCs w:val="28"/>
        </w:rPr>
        <w:t xml:space="preserve"> город  Горячий Ключ", в соответствии с которым в течение 3-х лет будет проведено сокращение численности и расходов на 20%.</w:t>
      </w:r>
    </w:p>
    <w:p w:rsidR="00477161" w:rsidRDefault="00477161" w:rsidP="004F4E45">
      <w:pPr>
        <w:spacing w:after="0" w:line="240" w:lineRule="auto"/>
        <w:rPr>
          <w:rFonts w:ascii="Times New Roman" w:hAnsi="Times New Roman" w:cs="Times New Roman"/>
        </w:rPr>
      </w:pPr>
    </w:p>
    <w:p w:rsidR="00E41C24" w:rsidRPr="00F0440C" w:rsidRDefault="00477161" w:rsidP="004F4E45">
      <w:pPr>
        <w:spacing w:after="0" w:line="240" w:lineRule="auto"/>
        <w:rPr>
          <w:sz w:val="28"/>
          <w:szCs w:val="28"/>
        </w:rPr>
      </w:pPr>
      <w:r w:rsidRPr="00E41C24">
        <w:rPr>
          <w:rFonts w:ascii="Times New Roman" w:hAnsi="Times New Roman" w:cs="Times New Roman"/>
        </w:rPr>
        <w:t>Ответственный за заполнение формы</w:t>
      </w:r>
      <w:r w:rsidR="00600B83">
        <w:rPr>
          <w:rFonts w:ascii="Times New Roman" w:hAnsi="Times New Roman" w:cs="Times New Roman"/>
        </w:rPr>
        <w:t xml:space="preserve"> </w:t>
      </w:r>
      <w:r w:rsidRPr="00E41C24">
        <w:rPr>
          <w:rFonts w:ascii="Times New Roman" w:hAnsi="Times New Roman" w:cs="Times New Roman"/>
        </w:rPr>
        <w:t>А.А. Храповицкий</w:t>
      </w:r>
      <w:r w:rsidR="00600B83">
        <w:rPr>
          <w:rFonts w:ascii="Times New Roman" w:hAnsi="Times New Roman" w:cs="Times New Roman"/>
        </w:rPr>
        <w:t xml:space="preserve">   </w:t>
      </w:r>
      <w:r w:rsidRPr="00E41C24">
        <w:rPr>
          <w:rFonts w:ascii="Times New Roman" w:hAnsi="Times New Roman" w:cs="Times New Roman"/>
        </w:rPr>
        <w:t>8-(861-59)-3-71-01</w:t>
      </w:r>
    </w:p>
    <w:sectPr w:rsidR="00E41C24" w:rsidRPr="00F0440C" w:rsidSect="004F4E4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8A" w:rsidRDefault="00F43B8A" w:rsidP="004F4E45">
      <w:pPr>
        <w:spacing w:after="0" w:line="240" w:lineRule="auto"/>
      </w:pPr>
      <w:r>
        <w:separator/>
      </w:r>
    </w:p>
  </w:endnote>
  <w:endnote w:type="continuationSeparator" w:id="0">
    <w:p w:rsidR="00F43B8A" w:rsidRDefault="00F43B8A" w:rsidP="004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8A" w:rsidRDefault="00F43B8A" w:rsidP="004F4E45">
      <w:pPr>
        <w:spacing w:after="0" w:line="240" w:lineRule="auto"/>
      </w:pPr>
      <w:r>
        <w:separator/>
      </w:r>
    </w:p>
  </w:footnote>
  <w:footnote w:type="continuationSeparator" w:id="0">
    <w:p w:rsidR="00F43B8A" w:rsidRDefault="00F43B8A" w:rsidP="004F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219"/>
      <w:docPartObj>
        <w:docPartGallery w:val="Page Numbers (Top of Page)"/>
        <w:docPartUnique/>
      </w:docPartObj>
    </w:sdtPr>
    <w:sdtEndPr/>
    <w:sdtContent>
      <w:p w:rsidR="009A36F3" w:rsidRDefault="00F43B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2C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A36F3" w:rsidRDefault="009A3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C"/>
    <w:rsid w:val="00047C8E"/>
    <w:rsid w:val="00057317"/>
    <w:rsid w:val="00081AE5"/>
    <w:rsid w:val="000C7ACA"/>
    <w:rsid w:val="000F04BF"/>
    <w:rsid w:val="001373BB"/>
    <w:rsid w:val="0016667A"/>
    <w:rsid w:val="001811A9"/>
    <w:rsid w:val="0018282B"/>
    <w:rsid w:val="001837B7"/>
    <w:rsid w:val="00295096"/>
    <w:rsid w:val="002F512A"/>
    <w:rsid w:val="0032191F"/>
    <w:rsid w:val="00383B72"/>
    <w:rsid w:val="003945CC"/>
    <w:rsid w:val="003E7B32"/>
    <w:rsid w:val="004327AA"/>
    <w:rsid w:val="00477161"/>
    <w:rsid w:val="004F4E45"/>
    <w:rsid w:val="005212C6"/>
    <w:rsid w:val="005301A5"/>
    <w:rsid w:val="00546EA3"/>
    <w:rsid w:val="00562968"/>
    <w:rsid w:val="00576026"/>
    <w:rsid w:val="005A074F"/>
    <w:rsid w:val="005B6EF1"/>
    <w:rsid w:val="00600B83"/>
    <w:rsid w:val="00620843"/>
    <w:rsid w:val="006B142C"/>
    <w:rsid w:val="006B6E88"/>
    <w:rsid w:val="007034BF"/>
    <w:rsid w:val="0070527C"/>
    <w:rsid w:val="0073491A"/>
    <w:rsid w:val="007C36D8"/>
    <w:rsid w:val="00883CDB"/>
    <w:rsid w:val="008B02FE"/>
    <w:rsid w:val="0091554D"/>
    <w:rsid w:val="00925F17"/>
    <w:rsid w:val="0094253D"/>
    <w:rsid w:val="009A36F3"/>
    <w:rsid w:val="009C550B"/>
    <w:rsid w:val="009D55A0"/>
    <w:rsid w:val="00A36734"/>
    <w:rsid w:val="00A46776"/>
    <w:rsid w:val="00A94FF0"/>
    <w:rsid w:val="00AC242E"/>
    <w:rsid w:val="00AD19D2"/>
    <w:rsid w:val="00AE096D"/>
    <w:rsid w:val="00AF1093"/>
    <w:rsid w:val="00C2116A"/>
    <w:rsid w:val="00C63378"/>
    <w:rsid w:val="00CC3B59"/>
    <w:rsid w:val="00CD1E50"/>
    <w:rsid w:val="00D10607"/>
    <w:rsid w:val="00D176D2"/>
    <w:rsid w:val="00D362C8"/>
    <w:rsid w:val="00DE262E"/>
    <w:rsid w:val="00DF2C74"/>
    <w:rsid w:val="00E10AAA"/>
    <w:rsid w:val="00E41C24"/>
    <w:rsid w:val="00E527F8"/>
    <w:rsid w:val="00E86C30"/>
    <w:rsid w:val="00E908BB"/>
    <w:rsid w:val="00ED55EE"/>
    <w:rsid w:val="00EF21AB"/>
    <w:rsid w:val="00F01692"/>
    <w:rsid w:val="00F0440C"/>
    <w:rsid w:val="00F303A1"/>
    <w:rsid w:val="00F4199A"/>
    <w:rsid w:val="00F43B8A"/>
    <w:rsid w:val="00F71E4B"/>
    <w:rsid w:val="00F747E9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CF228-9263-4B07-BBA7-217F96A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081AE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5">
    <w:name w:val="header"/>
    <w:basedOn w:val="a"/>
    <w:link w:val="a6"/>
    <w:uiPriority w:val="99"/>
    <w:unhideWhenUsed/>
    <w:rsid w:val="004F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E45"/>
  </w:style>
  <w:style w:type="paragraph" w:styleId="a7">
    <w:name w:val="footer"/>
    <w:basedOn w:val="a"/>
    <w:link w:val="a8"/>
    <w:uiPriority w:val="99"/>
    <w:semiHidden/>
    <w:unhideWhenUsed/>
    <w:rsid w:val="004F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E45"/>
  </w:style>
  <w:style w:type="paragraph" w:styleId="a9">
    <w:name w:val="Balloon Text"/>
    <w:basedOn w:val="a"/>
    <w:link w:val="aa"/>
    <w:uiPriority w:val="99"/>
    <w:semiHidden/>
    <w:unhideWhenUsed/>
    <w:rsid w:val="009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920F-7B7E-4040-BDB2-E668A950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9048</Words>
  <Characters>51577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Pom-1</dc:creator>
  <cp:keywords/>
  <dc:description/>
  <cp:lastModifiedBy>Андреева Нина</cp:lastModifiedBy>
  <cp:revision>3</cp:revision>
  <cp:lastPrinted>2011-04-19T04:30:00Z</cp:lastPrinted>
  <dcterms:created xsi:type="dcterms:W3CDTF">2018-01-24T05:34:00Z</dcterms:created>
  <dcterms:modified xsi:type="dcterms:W3CDTF">2018-01-24T05:34:00Z</dcterms:modified>
</cp:coreProperties>
</file>