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84"/>
        <w:tabs>
          <w:tab w:val="left" w:pos="709" w:leader="none"/>
        </w:tabs>
      </w:pPr>
      <w:r>
        <w:rPr>
          <w:rFonts w:ascii="Times New Roman" w:hAnsi="Times New Roman"/>
        </w:rPr>
        <w:t xml:space="preserve">формы</w:t>
      </w:r>
      <w:r/>
    </w:p>
    <w:p>
      <w:pPr>
        <w:pStyle w:val="463"/>
        <w:numPr>
          <w:ilvl w:val="2"/>
          <w:numId w:val="1"/>
        </w:numPr>
        <w:jc w:val="center"/>
      </w:pPr>
      <w:r>
        <w:rPr>
          <w:sz w:val="28"/>
          <w:szCs w:val="28"/>
          <w:shd w:val="clear" w:fill="FFFFFF" w:color="FFFFFF"/>
        </w:rPr>
        <w:t xml:space="preserve">Основные показатели социально-экономического развития муниципального образования город Горячий Ключ </w:t>
        <w:br/>
        <w:t xml:space="preserve">за я</w:t>
      </w:r>
      <w:r>
        <w:rPr>
          <w:color w:val="000000"/>
          <w:sz w:val="28"/>
          <w:szCs w:val="28"/>
          <w:shd w:val="clear" w:fill="FFFFFF" w:color="FFFFFF"/>
        </w:rPr>
        <w:t xml:space="preserve">нварь-февраль  2023 года</w:t>
      </w:r>
      <w:r/>
    </w:p>
    <w:p>
      <w:pPr>
        <w:pStyle w:val="461"/>
        <w:rPr>
          <w:sz w:val="28"/>
          <w:szCs w:val="28"/>
          <w:shd w:val="clear" w:fill="FFFFFF" w:color="FFFFFF"/>
        </w:rPr>
      </w:pPr>
      <w:r>
        <w:rPr>
          <w:sz w:val="28"/>
          <w:szCs w:val="28"/>
          <w:shd w:val="clear" w:fill="FFFFFF" w:color="FFFFFF"/>
        </w:rPr>
      </w:r>
      <w:r/>
    </w:p>
    <w:p>
      <w:pPr>
        <w:pStyle w:val="461"/>
        <w:ind w:left="0" w:right="0" w:firstLine="567"/>
        <w:jc w:val="both"/>
        <w:tabs>
          <w:tab w:val="left" w:pos="540" w:leader="none"/>
          <w:tab w:val="left" w:pos="567" w:leader="none"/>
          <w:tab w:val="left" w:pos="858" w:leader="none"/>
        </w:tabs>
      </w:pPr>
      <w:r>
        <w:rPr>
          <w:sz w:val="28"/>
          <w:szCs w:val="28"/>
          <w:shd w:val="clear" w:fill="FFFFFF" w:color="FFFFFF"/>
        </w:rPr>
        <w:t xml:space="preserve">Среднемесячная заработная плата работников крупных и средних </w:t>
        <w:br/>
        <w:t xml:space="preserve">предприятий за январь 2023 год (*) составила 38675,00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shd w:val="clear" w:fill="FFFFFF" w:color="FFFFFF"/>
        </w:rPr>
        <w:t xml:space="preserve">рублей (</w:t>
      </w:r>
      <w:r>
        <w:rPr>
          <w:sz w:val="28"/>
          <w:szCs w:val="28"/>
        </w:rPr>
        <w:t xml:space="preserve">113,7 </w:t>
      </w:r>
      <w:r>
        <w:rPr>
          <w:sz w:val="28"/>
          <w:szCs w:val="28"/>
          <w:shd w:val="clear" w:fill="FFFFFF" w:color="FFFFFF"/>
        </w:rPr>
        <w:t xml:space="preserve">% к аналогичному периоду 2022 года). </w:t>
      </w:r>
      <w:r/>
    </w:p>
    <w:p>
      <w:pPr>
        <w:pStyle w:val="461"/>
        <w:jc w:val="center"/>
        <w:rPr>
          <w:b/>
          <w:color w:val="FF0000"/>
          <w:sz w:val="28"/>
          <w:szCs w:val="28"/>
          <w:shd w:val="clear" w:fill="FFFFFF" w:color="FFFFFF"/>
        </w:rPr>
      </w:pPr>
      <w:r>
        <w:rPr>
          <w:b/>
          <w:color w:val="FF0000"/>
          <w:sz w:val="28"/>
          <w:szCs w:val="28"/>
          <w:shd w:val="clear" w:fill="FFFFFF" w:color="FFFFFF"/>
        </w:rPr>
      </w:r>
      <w:r/>
    </w:p>
    <w:p>
      <w:pPr>
        <w:pStyle w:val="461"/>
        <w:jc w:val="center"/>
      </w:pPr>
      <w:r>
        <w:rPr>
          <w:b/>
          <w:shd w:val="clear" w:fill="FFFFFF" w:color="FFFFFF"/>
        </w:rPr>
        <w:t xml:space="preserve">Промышленное производство</w:t>
      </w:r>
      <w:r/>
    </w:p>
    <w:p>
      <w:pPr>
        <w:pStyle w:val="461"/>
        <w:ind w:left="0" w:right="0" w:firstLine="567"/>
        <w:jc w:val="both"/>
        <w:tabs>
          <w:tab w:val="left" w:pos="567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6990" w:leader="none"/>
        </w:tabs>
      </w:pPr>
      <w:r>
        <w:rPr>
          <w:sz w:val="28"/>
          <w:szCs w:val="28"/>
          <w:shd w:val="clear" w:fill="FFFFFF" w:color="FFFFFF"/>
        </w:rPr>
        <w:t xml:space="preserve">Объем отгруженных товаров собственного производства, выполненных работ и услуг по крупным и средним промышленным предприятиям за январь-февраль 2023 года составил 488</w:t>
      </w:r>
      <w:r>
        <w:rPr>
          <w:color w:val="000000"/>
          <w:sz w:val="28"/>
          <w:szCs w:val="28"/>
          <w:shd w:val="clear" w:fill="FFFFFF" w:color="FFFFFF"/>
        </w:rPr>
        <w:t xml:space="preserve">,3</w:t>
      </w:r>
      <w:r>
        <w:rPr>
          <w:sz w:val="28"/>
          <w:szCs w:val="28"/>
          <w:shd w:val="clear" w:fill="FFFFFF" w:color="FFFFFF"/>
        </w:rPr>
        <w:t xml:space="preserve"> млн. рублей (104,4 % к аналогичному периоду 2022 год</w:t>
      </w:r>
      <w:r>
        <w:rPr>
          <w:color w:val="000000"/>
          <w:sz w:val="28"/>
          <w:szCs w:val="28"/>
          <w:shd w:val="clear" w:fill="FFFFFF" w:color="FFFFFF"/>
        </w:rPr>
        <w:t xml:space="preserve">а</w:t>
      </w:r>
      <w:r>
        <w:rPr>
          <w:sz w:val="28"/>
          <w:szCs w:val="28"/>
          <w:shd w:val="clear" w:fill="FFFFFF" w:color="FFFFFF"/>
        </w:rPr>
        <w:t xml:space="preserve">).</w:t>
      </w:r>
      <w:r/>
    </w:p>
    <w:p>
      <w:pPr>
        <w:pStyle w:val="461"/>
        <w:ind w:left="0" w:right="0" w:firstLine="567"/>
        <w:jc w:val="both"/>
        <w:tabs>
          <w:tab w:val="left" w:pos="567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6990" w:leader="none"/>
        </w:tabs>
        <w:rPr>
          <w:sz w:val="28"/>
          <w:szCs w:val="28"/>
          <w:shd w:val="clear" w:fill="FFFFFF" w:color="FFFFFF"/>
        </w:rPr>
      </w:pPr>
      <w:r>
        <w:rPr>
          <w:sz w:val="28"/>
          <w:szCs w:val="28"/>
          <w:shd w:val="clear" w:fill="FFFFFF" w:color="FFFFFF"/>
        </w:rPr>
      </w:r>
      <w:r/>
    </w:p>
    <w:p>
      <w:pPr>
        <w:pStyle w:val="461"/>
        <w:jc w:val="both"/>
      </w:pPr>
      <w:r>
        <w:rPr>
          <w:b/>
          <w:i/>
          <w:u w:val="single"/>
          <w:shd w:val="clear" w:fill="FFFFFF" w:color="FFFFFF"/>
        </w:rPr>
        <w:t xml:space="preserve">Добыча полезных ископаемых</w:t>
      </w:r>
      <w:r/>
    </w:p>
    <w:p>
      <w:pPr>
        <w:pStyle w:val="461"/>
        <w:jc w:val="both"/>
        <w:rPr>
          <w:b/>
          <w:i/>
          <w:color w:val="FF0000"/>
          <w:u w:val="single"/>
          <w:shd w:val="clear" w:fill="FFFFFF" w:color="FFFFFF"/>
        </w:rPr>
      </w:pPr>
      <w:r>
        <w:rPr>
          <w:b/>
          <w:i/>
          <w:color w:val="FF0000"/>
          <w:u w:val="single"/>
          <w:shd w:val="clear" w:fill="FFFFFF" w:color="FFFFFF"/>
        </w:rPr>
      </w:r>
      <w:r/>
    </w:p>
    <w:p>
      <w:pPr>
        <w:pStyle w:val="461"/>
        <w:ind w:left="0" w:right="0" w:firstLine="567"/>
        <w:jc w:val="both"/>
        <w:tabs>
          <w:tab w:val="left" w:pos="567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6990" w:leader="none"/>
        </w:tabs>
      </w:pPr>
      <w:r>
        <w:rPr>
          <w:sz w:val="28"/>
          <w:szCs w:val="28"/>
          <w:shd w:val="clear" w:fill="FFFFFF" w:color="FFFFFF"/>
        </w:rPr>
        <w:t xml:space="preserve">За январь-февраль 202</w:t>
      </w:r>
      <w:r>
        <w:rPr>
          <w:color w:val="000000"/>
          <w:sz w:val="28"/>
          <w:szCs w:val="28"/>
          <w:shd w:val="clear" w:fill="FFFFFF" w:color="FFFFFF"/>
        </w:rPr>
        <w:t xml:space="preserve">3</w:t>
      </w:r>
      <w:r>
        <w:rPr>
          <w:sz w:val="28"/>
          <w:szCs w:val="28"/>
          <w:shd w:val="clear" w:fill="FFFFFF" w:color="FFFFFF"/>
        </w:rPr>
        <w:t xml:space="preserve"> года объем отгруженных товаров по крупным и средним предприятиям составил 273,2 млн. рублей (133,2 % к аналогичному периоду 2022 год</w:t>
      </w:r>
      <w:r>
        <w:rPr>
          <w:color w:val="000000"/>
          <w:sz w:val="28"/>
          <w:szCs w:val="28"/>
          <w:shd w:val="clear" w:fill="FFFFFF" w:color="FFFFFF"/>
        </w:rPr>
        <w:t xml:space="preserve">а</w:t>
      </w:r>
      <w:r>
        <w:rPr>
          <w:sz w:val="28"/>
          <w:szCs w:val="28"/>
          <w:shd w:val="clear" w:fill="FFFFFF" w:color="FFFFFF"/>
        </w:rPr>
        <w:t xml:space="preserve">).</w:t>
      </w:r>
      <w:r/>
    </w:p>
    <w:p>
      <w:pPr>
        <w:pStyle w:val="461"/>
        <w:jc w:val="both"/>
        <w:spacing w:after="280" w:before="280"/>
      </w:pPr>
      <w:r>
        <w:rPr>
          <w:b/>
          <w:bCs/>
          <w:i/>
          <w:iCs/>
          <w:u w:val="single"/>
          <w:shd w:val="clear" w:fill="FFFFFF" w:color="FFFFFF"/>
          <w:lang w:eastAsia="ru-RU"/>
        </w:rPr>
        <w:t xml:space="preserve">Обрабатывающие производства</w:t>
      </w:r>
      <w:r/>
    </w:p>
    <w:p>
      <w:pPr>
        <w:pStyle w:val="461"/>
        <w:ind w:left="0" w:right="0" w:firstLine="567"/>
        <w:jc w:val="both"/>
        <w:tabs>
          <w:tab w:val="left" w:pos="567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6990" w:leader="none"/>
        </w:tabs>
      </w:pPr>
      <w:r>
        <w:rPr>
          <w:sz w:val="28"/>
          <w:szCs w:val="28"/>
          <w:shd w:val="clear" w:fill="FFFFFF" w:color="FFFFFF"/>
        </w:rPr>
        <w:t xml:space="preserve">Объем отгруженных товаров по крупным и средним предприятиям за      январь-февраль 2023 года составил 162,3 млн. рублей, или 78,9 % к аналогичному периоду 2022 год</w:t>
      </w:r>
      <w:r>
        <w:rPr>
          <w:color w:val="000000"/>
          <w:sz w:val="28"/>
          <w:szCs w:val="28"/>
          <w:shd w:val="clear" w:fill="FFFFFF" w:color="FFFFFF"/>
        </w:rPr>
        <w:t xml:space="preserve">а. </w:t>
      </w:r>
      <w:r>
        <w:rPr>
          <w:sz w:val="28"/>
          <w:szCs w:val="28"/>
          <w:shd w:val="clear" w:fill="FFFFFF" w:color="FFFFFF"/>
        </w:rPr>
        <w:t xml:space="preserve"> </w:t>
      </w:r>
      <w:r/>
    </w:p>
    <w:p>
      <w:pPr>
        <w:pStyle w:val="461"/>
        <w:jc w:val="both"/>
        <w:tabs>
          <w:tab w:val="left" w:pos="567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6990" w:leader="none"/>
        </w:tabs>
      </w:pPr>
      <w:r>
        <w:rPr>
          <w:sz w:val="28"/>
          <w:szCs w:val="28"/>
          <w:shd w:val="clear" w:fill="FFFFFF" w:color="FFFFFF"/>
        </w:rPr>
        <w:tab/>
        <w:t xml:space="preserve">За январь-февраль 2023 года крупными и средними предприятиями города произведено:  </w:t>
      </w:r>
      <w:r>
        <w:rPr>
          <w:rFonts w:ascii="Times New Roman" w:hAnsi="Times New Roman" w:eastAsia="Times New Roman"/>
          <w:color w:val="000000"/>
          <w:spacing w:val="0"/>
          <w:sz w:val="28"/>
          <w:szCs w:val="28"/>
          <w:shd w:val="clear" w:color="auto" w:fill="auto"/>
        </w:rPr>
        <w:t xml:space="preserve">29734 тыс. полулитров минеральной и природной питьевой воды и 50,7 тыс. дкл. безалкогольных напитков (121,5 % и 116,3 % к 2022 году).</w:t>
      </w:r>
      <w:r/>
    </w:p>
    <w:p>
      <w:pPr>
        <w:pStyle w:val="461"/>
        <w:spacing w:after="280" w:before="280"/>
      </w:pPr>
      <w:r>
        <w:rPr>
          <w:b/>
          <w:bCs/>
          <w:i/>
          <w:iCs/>
          <w:u w:val="single"/>
          <w:shd w:val="clear" w:fill="FFFFFF" w:color="FFFFFF"/>
          <w:lang w:eastAsia="ru-RU"/>
        </w:rPr>
        <w:t xml:space="preserve">Производство и распределение электроэнергии, газа, тепловой энергии и воды</w:t>
      </w:r>
      <w:r/>
    </w:p>
    <w:p>
      <w:pPr>
        <w:pStyle w:val="461"/>
        <w:ind w:left="0" w:right="0" w:firstLine="567"/>
        <w:jc w:val="both"/>
        <w:tabs>
          <w:tab w:val="left" w:pos="567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6990" w:leader="none"/>
        </w:tabs>
      </w:pPr>
      <w:r>
        <w:rPr>
          <w:sz w:val="28"/>
          <w:szCs w:val="28"/>
          <w:shd w:val="clear" w:fill="FFFFFF" w:color="FFFFFF"/>
        </w:rPr>
        <w:t xml:space="preserve">Объём услуг по крупным и средним предприятиям, занимающимся обеспечением электрической энергией, газом и паром, кондиционированием воздуха, за январь-февраль 2023</w:t>
      </w:r>
      <w:r>
        <w:rPr>
          <w:color w:val="000000"/>
          <w:sz w:val="28"/>
          <w:szCs w:val="28"/>
          <w:shd w:val="clear" w:fill="FFFFFF" w:color="FFFFFF"/>
        </w:rPr>
        <w:t xml:space="preserve"> </w:t>
      </w:r>
      <w:r>
        <w:rPr>
          <w:sz w:val="28"/>
          <w:szCs w:val="28"/>
          <w:shd w:val="clear" w:fill="FFFFFF" w:color="FFFFFF"/>
        </w:rPr>
        <w:t xml:space="preserve">года составил 2,5</w:t>
      </w:r>
      <w:r>
        <w:rPr>
          <w:color w:val="000000"/>
          <w:sz w:val="28"/>
          <w:szCs w:val="28"/>
          <w:shd w:val="clear" w:fill="FFFFFF" w:color="FFFFFF"/>
        </w:rPr>
        <w:t xml:space="preserve"> </w:t>
      </w:r>
      <w:r>
        <w:rPr>
          <w:sz w:val="28"/>
          <w:szCs w:val="28"/>
          <w:shd w:val="clear" w:fill="FFFFFF" w:color="FFFFFF"/>
        </w:rPr>
        <w:t xml:space="preserve">млн. рублей (41,5 % к аналогичному периоду 2022 год</w:t>
      </w:r>
      <w:r>
        <w:rPr>
          <w:color w:val="000000"/>
          <w:sz w:val="28"/>
          <w:szCs w:val="28"/>
          <w:shd w:val="clear" w:fill="FFFFFF" w:color="FFFFFF"/>
        </w:rPr>
        <w:t xml:space="preserve">а</w:t>
      </w:r>
      <w:r>
        <w:rPr>
          <w:sz w:val="28"/>
          <w:szCs w:val="28"/>
          <w:shd w:val="clear" w:fill="FFFFFF" w:color="FFFFFF"/>
        </w:rPr>
        <w:t xml:space="preserve">). </w:t>
      </w:r>
      <w:r/>
    </w:p>
    <w:p>
      <w:pPr>
        <w:pStyle w:val="461"/>
        <w:ind w:left="0" w:right="0" w:firstLine="567"/>
        <w:jc w:val="both"/>
        <w:tabs>
          <w:tab w:val="left" w:pos="567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6990" w:leader="none"/>
        </w:tabs>
      </w:pPr>
      <w:r>
        <w:rPr>
          <w:sz w:val="28"/>
          <w:szCs w:val="28"/>
          <w:shd w:val="clear" w:fill="FFFFFF" w:color="FFFFFF"/>
        </w:rPr>
        <w:t xml:space="preserve">Объём оказанных услуг по крупным и средним предприятиям, занимающихся водоснабжением и водоотведением, организацией сбора и утилизации отходов за январь-февраль 2023</w:t>
      </w:r>
      <w:r>
        <w:rPr>
          <w:color w:val="000000"/>
          <w:sz w:val="28"/>
          <w:szCs w:val="28"/>
          <w:shd w:val="clear" w:fill="FFFFFF" w:color="FFFFFF"/>
        </w:rPr>
        <w:t xml:space="preserve"> </w:t>
      </w:r>
      <w:r>
        <w:rPr>
          <w:sz w:val="28"/>
          <w:szCs w:val="28"/>
          <w:shd w:val="clear" w:fill="FFFFFF" w:color="FFFFFF"/>
        </w:rPr>
        <w:t xml:space="preserve">года составил 50,2 млн. рублей (99,3 % к аналогичному периоду 2022 год</w:t>
      </w:r>
      <w:r>
        <w:rPr>
          <w:color w:val="000000"/>
          <w:sz w:val="28"/>
          <w:szCs w:val="28"/>
          <w:shd w:val="clear" w:fill="FFFFFF" w:color="FFFFFF"/>
        </w:rPr>
        <w:t xml:space="preserve">а</w:t>
      </w:r>
      <w:r>
        <w:rPr>
          <w:sz w:val="28"/>
          <w:szCs w:val="28"/>
          <w:shd w:val="clear" w:fill="FFFFFF" w:color="FFFFFF"/>
        </w:rPr>
        <w:t xml:space="preserve">). </w:t>
      </w:r>
      <w:r/>
    </w:p>
    <w:p>
      <w:pPr>
        <w:pStyle w:val="461"/>
        <w:ind w:left="0" w:right="0" w:firstLine="851"/>
        <w:jc w:val="both"/>
        <w:tabs>
          <w:tab w:val="left" w:pos="1272" w:leader="none"/>
        </w:tabs>
        <w:rPr>
          <w:b/>
          <w:bCs/>
          <w:sz w:val="28"/>
          <w:szCs w:val="28"/>
          <w:shd w:val="clear" w:fill="FFFFFF" w:color="FFFFFF"/>
          <w:lang w:eastAsia="ru-RU"/>
        </w:rPr>
      </w:pPr>
      <w:r>
        <w:rPr>
          <w:b/>
          <w:bCs/>
          <w:sz w:val="28"/>
          <w:szCs w:val="28"/>
          <w:shd w:val="clear" w:fill="FFFFFF" w:color="FFFFFF"/>
          <w:lang w:eastAsia="ru-RU"/>
        </w:rPr>
      </w:r>
      <w:r/>
    </w:p>
    <w:p>
      <w:pPr>
        <w:pStyle w:val="461"/>
        <w:ind w:left="0" w:right="0" w:firstLine="851"/>
        <w:jc w:val="center"/>
        <w:tabs>
          <w:tab w:val="left" w:pos="1272" w:leader="none"/>
        </w:tabs>
      </w:pPr>
      <w:r>
        <w:rPr>
          <w:b/>
          <w:bCs/>
          <w:shd w:val="clear" w:fill="FFFFFF" w:color="FFFFFF"/>
          <w:lang w:eastAsia="ru-RU"/>
        </w:rPr>
        <w:t xml:space="preserve">Сельское хозяйство</w:t>
      </w:r>
      <w:r/>
    </w:p>
    <w:p>
      <w:pPr>
        <w:pStyle w:val="461"/>
        <w:ind w:left="0" w:right="0" w:firstLine="851"/>
        <w:jc w:val="center"/>
        <w:tabs>
          <w:tab w:val="left" w:pos="1272" w:leader="none"/>
        </w:tabs>
        <w:rPr>
          <w:b/>
          <w:bCs/>
          <w:shd w:val="clear" w:fill="FFFFFF" w:color="FFFFFF"/>
          <w:lang w:eastAsia="ru-RU"/>
        </w:rPr>
      </w:pPr>
      <w:r>
        <w:rPr>
          <w:b/>
          <w:bCs/>
          <w:shd w:val="clear" w:fill="FFFFFF" w:color="FFFFFF"/>
          <w:lang w:eastAsia="ru-RU"/>
        </w:rPr>
      </w:r>
      <w:r/>
    </w:p>
    <w:p>
      <w:pPr>
        <w:pStyle w:val="461"/>
        <w:ind w:left="0" w:right="0" w:firstLine="851"/>
        <w:jc w:val="both"/>
        <w:tabs>
          <w:tab w:val="left" w:pos="1272" w:leader="none"/>
        </w:tabs>
      </w:pPr>
      <w:r>
        <w:rPr>
          <w:sz w:val="28"/>
          <w:szCs w:val="28"/>
          <w:shd w:val="clear" w:fill="FFFFFF" w:color="FFFFFF"/>
        </w:rPr>
        <w:t xml:space="preserve">За январь-февраль 2023 года объем отгруженной сельскохозяйственной продукции, а также услуг в области животноводства, по крупным и средним сельскохозяйственным предприятиям отсутствует.</w:t>
      </w:r>
      <w:r/>
    </w:p>
    <w:p>
      <w:pPr>
        <w:pStyle w:val="461"/>
        <w:jc w:val="center"/>
      </w:pPr>
      <w:r>
        <w:rPr>
          <w:b/>
          <w:bCs/>
          <w:shd w:val="clear" w:fill="FFFFFF" w:color="FFFFFF"/>
          <w:lang w:eastAsia="ru-RU"/>
        </w:rPr>
        <w:t xml:space="preserve">                                                                       </w:t>
      </w:r>
      <w:r/>
    </w:p>
    <w:p>
      <w:pPr>
        <w:pStyle w:val="461"/>
        <w:jc w:val="center"/>
        <w:rPr>
          <w:b/>
          <w:bCs/>
          <w:shd w:val="clear" w:fill="FFFFFF" w:color="FFFFFF"/>
          <w:lang w:eastAsia="ru-RU"/>
        </w:rPr>
      </w:pPr>
      <w:r>
        <w:rPr>
          <w:b/>
          <w:bCs/>
          <w:shd w:val="clear" w:fill="FFFFFF" w:color="FFFFFF"/>
          <w:lang w:eastAsia="ru-RU"/>
        </w:rPr>
      </w:r>
      <w:r/>
    </w:p>
    <w:p>
      <w:pPr>
        <w:pStyle w:val="461"/>
        <w:jc w:val="center"/>
      </w:pPr>
      <w:r>
        <w:rPr>
          <w:b/>
          <w:bCs/>
          <w:shd w:val="clear" w:fill="FFFFFF" w:color="FFFFFF"/>
          <w:lang w:eastAsia="ru-RU"/>
        </w:rPr>
        <w:t xml:space="preserve">Транспорт</w:t>
      </w:r>
      <w:r/>
    </w:p>
    <w:p>
      <w:pPr>
        <w:pStyle w:val="461"/>
        <w:jc w:val="center"/>
        <w:rPr>
          <w:b/>
          <w:bCs/>
          <w:shd w:val="clear" w:fill="FFFFFF" w:color="FFFFFF"/>
          <w:lang w:eastAsia="ru-RU"/>
        </w:rPr>
      </w:pPr>
      <w:r>
        <w:rPr>
          <w:b/>
          <w:bCs/>
          <w:shd w:val="clear" w:fill="FFFFFF" w:color="FFFFFF"/>
          <w:lang w:eastAsia="ru-RU"/>
        </w:rPr>
      </w:r>
      <w:r/>
    </w:p>
    <w:p>
      <w:pPr>
        <w:pStyle w:val="461"/>
        <w:ind w:left="0" w:right="0" w:firstLine="709"/>
        <w:jc w:val="both"/>
      </w:pPr>
      <w:r>
        <w:rPr>
          <w:sz w:val="28"/>
          <w:szCs w:val="28"/>
          <w:shd w:val="clear" w:fill="FFFFFF" w:color="FFFFFF"/>
        </w:rPr>
        <w:t xml:space="preserve">За январь-февраль 2023</w:t>
      </w:r>
      <w:r>
        <w:rPr>
          <w:color w:val="000000"/>
          <w:sz w:val="28"/>
          <w:szCs w:val="28"/>
          <w:shd w:val="clear" w:fill="FFFFFF" w:color="FFFFFF"/>
        </w:rPr>
        <w:t xml:space="preserve"> </w:t>
      </w:r>
      <w:r>
        <w:rPr>
          <w:sz w:val="28"/>
          <w:szCs w:val="28"/>
          <w:shd w:val="clear" w:fill="FFFFFF" w:color="FFFFFF"/>
        </w:rPr>
        <w:t xml:space="preserve">года объем услуг, выполненных крупными и средними предприятиями, занятыми транспортировкой и хранением, составил 18,7 млн. рублей (57,1 % к аналогичному периоду 2022 год</w:t>
      </w:r>
      <w:r>
        <w:rPr>
          <w:color w:val="000000"/>
          <w:sz w:val="28"/>
          <w:szCs w:val="28"/>
          <w:shd w:val="clear" w:fill="FFFFFF" w:color="FFFFFF"/>
        </w:rPr>
        <w:t xml:space="preserve">а</w:t>
      </w:r>
      <w:r>
        <w:rPr>
          <w:sz w:val="28"/>
          <w:szCs w:val="28"/>
          <w:shd w:val="clear" w:fill="FFFFFF" w:color="FFFFFF"/>
        </w:rPr>
        <w:t xml:space="preserve">).</w:t>
      </w:r>
      <w:r/>
    </w:p>
    <w:p>
      <w:pPr>
        <w:pStyle w:val="461"/>
        <w:jc w:val="both"/>
        <w:tabs>
          <w:tab w:val="left" w:pos="567" w:leader="none"/>
        </w:tabs>
      </w:pPr>
      <w:r>
        <w:rPr>
          <w:sz w:val="28"/>
          <w:szCs w:val="28"/>
          <w:shd w:val="clear" w:fill="FFFFFF" w:color="FFFFFF"/>
        </w:rPr>
        <w:tab/>
        <w:t xml:space="preserve"> В отчетном периоде автомобильным транспортом общего пользования</w:t>
        <w:br/>
        <w:t xml:space="preserve"> перевезено </w:t>
      </w:r>
      <w:r>
        <w:rPr>
          <w:rFonts w:eastAsia="Times New Roman"/>
          <w:color w:val="000000"/>
          <w:sz w:val="28"/>
          <w:szCs w:val="28"/>
          <w:shd w:val="clear" w:fill="EEEEEE" w:color="EEEEEE"/>
          <w:lang w:val="ru-RU" w:bidi="ar-SA" w:eastAsia="zh-CN"/>
        </w:rPr>
        <w:t xml:space="preserve">322</w:t>
      </w:r>
      <w:r>
        <w:rPr>
          <w:sz w:val="28"/>
          <w:szCs w:val="28"/>
          <w:shd w:val="clear" w:fill="EEEEEE" w:color="EEEEEE"/>
        </w:rPr>
        <w:t xml:space="preserve">,</w:t>
      </w:r>
      <w:r>
        <w:rPr>
          <w:sz w:val="28"/>
          <w:szCs w:val="28"/>
          <w:shd w:val="clear" w:fill="EEEEEE" w:color="EEEEEE"/>
        </w:rPr>
        <w:t xml:space="preserve">1</w:t>
      </w:r>
      <w:r>
        <w:rPr>
          <w:color w:val="000000"/>
          <w:sz w:val="28"/>
          <w:szCs w:val="28"/>
          <w:shd w:val="clear" w:fill="EEEEEE" w:color="EEEEEE"/>
        </w:rPr>
        <w:t xml:space="preserve"> </w:t>
      </w:r>
      <w:r>
        <w:rPr>
          <w:color w:val="000000"/>
          <w:sz w:val="28"/>
          <w:szCs w:val="28"/>
          <w:shd w:val="clear" w:fill="FFFFFF" w:color="FFFFFF"/>
        </w:rPr>
        <w:t xml:space="preserve"> </w:t>
      </w:r>
      <w:r>
        <w:rPr>
          <w:sz w:val="28"/>
          <w:szCs w:val="28"/>
          <w:shd w:val="clear" w:fill="FFFFFF" w:color="FFFFFF"/>
        </w:rPr>
        <w:t xml:space="preserve">тыс. человек (</w:t>
      </w:r>
      <w:r>
        <w:rPr>
          <w:color w:val="000000"/>
          <w:sz w:val="28"/>
          <w:szCs w:val="28"/>
          <w:shd w:val="clear" w:fill="EEEEEE" w:color="EEEEEE"/>
        </w:rPr>
        <w:t xml:space="preserve">1</w:t>
      </w:r>
      <w:r>
        <w:rPr>
          <w:color w:val="000000"/>
          <w:sz w:val="28"/>
          <w:szCs w:val="28"/>
          <w:shd w:val="clear" w:fill="EEEEEE" w:color="EEEEEE"/>
        </w:rPr>
        <w:t xml:space="preserve">28</w:t>
      </w:r>
      <w:r>
        <w:rPr>
          <w:color w:val="000000"/>
          <w:sz w:val="28"/>
          <w:szCs w:val="28"/>
          <w:shd w:val="clear" w:fill="EEEEEE" w:color="EEEEEE"/>
        </w:rPr>
        <w:t xml:space="preserve">,</w:t>
      </w:r>
      <w:r>
        <w:rPr>
          <w:color w:val="000000"/>
          <w:sz w:val="28"/>
          <w:szCs w:val="28"/>
          <w:shd w:val="clear" w:fill="EEEEEE" w:color="EEEEEE"/>
        </w:rPr>
        <w:t xml:space="preserve">4</w:t>
      </w:r>
      <w:r>
        <w:rPr>
          <w:color w:val="000000"/>
          <w:sz w:val="28"/>
          <w:szCs w:val="28"/>
          <w:shd w:val="clear" w:fill="EEEEEE" w:color="EEEEEE"/>
        </w:rPr>
        <w:t xml:space="preserve"> </w:t>
      </w:r>
      <w:r>
        <w:rPr>
          <w:sz w:val="28"/>
          <w:szCs w:val="28"/>
          <w:shd w:val="clear" w:fill="FFFFFF" w:color="FFFFFF"/>
        </w:rPr>
        <w:t xml:space="preserve">% к аналогичному периоду 2022 год</w:t>
      </w:r>
      <w:r>
        <w:rPr>
          <w:color w:val="000000"/>
          <w:sz w:val="28"/>
          <w:szCs w:val="28"/>
          <w:shd w:val="clear" w:fill="FFFFFF" w:color="FFFFFF"/>
        </w:rPr>
        <w:t xml:space="preserve">а</w:t>
      </w:r>
      <w:r>
        <w:rPr>
          <w:sz w:val="28"/>
          <w:szCs w:val="28"/>
          <w:shd w:val="clear" w:fill="FFFFFF" w:color="FFFFFF"/>
        </w:rPr>
        <w:t xml:space="preserve">). </w:t>
      </w:r>
      <w:r/>
    </w:p>
    <w:p>
      <w:pPr>
        <w:pStyle w:val="461"/>
        <w:jc w:val="center"/>
        <w:rPr>
          <w:b/>
          <w:bCs/>
          <w:sz w:val="28"/>
          <w:szCs w:val="28"/>
          <w:shd w:val="clear" w:fill="FFFFFF" w:color="FFFFFF"/>
          <w:lang w:eastAsia="ru-RU"/>
        </w:rPr>
      </w:pPr>
      <w:r>
        <w:rPr>
          <w:b/>
          <w:bCs/>
          <w:sz w:val="28"/>
          <w:szCs w:val="28"/>
          <w:shd w:val="clear" w:fill="FFFFFF" w:color="FFFFFF"/>
          <w:lang w:eastAsia="ru-RU"/>
        </w:rPr>
      </w:r>
      <w:r/>
    </w:p>
    <w:p>
      <w:pPr>
        <w:pStyle w:val="461"/>
        <w:jc w:val="center"/>
      </w:pPr>
      <w:r>
        <w:rPr>
          <w:b/>
          <w:bCs/>
          <w:shd w:val="clear" w:fill="FFFFFF" w:color="FFFFFF"/>
          <w:lang w:eastAsia="ru-RU"/>
        </w:rPr>
        <w:t xml:space="preserve">Потребительский рынок</w:t>
      </w:r>
      <w:r/>
    </w:p>
    <w:p>
      <w:pPr>
        <w:pStyle w:val="461"/>
      </w:pPr>
      <w:r>
        <w:rPr>
          <w:b/>
          <w:bCs/>
          <w:i/>
          <w:iCs/>
          <w:u w:val="single"/>
          <w:shd w:val="clear" w:fill="FFFFFF" w:color="FFFFFF"/>
          <w:lang w:eastAsia="ru-RU"/>
        </w:rPr>
        <w:t xml:space="preserve">Розничная торговля</w:t>
      </w:r>
      <w:r/>
    </w:p>
    <w:p>
      <w:pPr>
        <w:pStyle w:val="461"/>
        <w:ind w:left="0" w:right="0" w:firstLine="567"/>
        <w:jc w:val="both"/>
        <w:tabs>
          <w:tab w:val="left" w:pos="567" w:leader="none"/>
        </w:tabs>
        <w:rPr>
          <w:b/>
          <w:bCs/>
          <w:i/>
          <w:iCs/>
          <w:sz w:val="28"/>
          <w:u w:val="single"/>
          <w:shd w:val="clear" w:fill="FFFFFF" w:color="FFFFFF"/>
          <w:lang w:eastAsia="ru-RU"/>
        </w:rPr>
      </w:pPr>
      <w:r>
        <w:rPr>
          <w:b/>
          <w:bCs/>
          <w:i/>
          <w:iCs/>
          <w:sz w:val="28"/>
          <w:u w:val="single"/>
          <w:shd w:val="clear" w:fill="FFFFFF" w:color="FFFFFF"/>
          <w:lang w:eastAsia="ru-RU"/>
        </w:rPr>
      </w:r>
      <w:r/>
    </w:p>
    <w:p>
      <w:pPr>
        <w:pStyle w:val="461"/>
        <w:ind w:left="0" w:right="0" w:firstLine="567"/>
        <w:jc w:val="both"/>
        <w:tabs>
          <w:tab w:val="left" w:pos="567" w:leader="none"/>
        </w:tabs>
      </w:pPr>
      <w:r>
        <w:rPr>
          <w:sz w:val="28"/>
          <w:shd w:val="clear" w:fill="FFFFFF" w:color="FFFFFF"/>
        </w:rPr>
        <w:t xml:space="preserve">За январь-февраль 2023 года объем розничного товарооборота крупных и средних предприятий с учетом </w:t>
      </w:r>
      <w:r>
        <w:rPr>
          <w:sz w:val="28"/>
          <w:szCs w:val="28"/>
          <w:shd w:val="clear" w:fill="FFFFFF" w:color="FFFFFF"/>
        </w:rPr>
        <w:t xml:space="preserve">территориально-обособленных подразделений выполнен на 76 % в действующих ценах и составил 1914,8 млн. рублей</w:t>
      </w:r>
      <w:r>
        <w:rPr>
          <w:sz w:val="28"/>
          <w:shd w:val="clear" w:fill="FFFFFF" w:color="FFFFFF"/>
        </w:rPr>
        <w:t xml:space="preserve">.</w:t>
      </w:r>
      <w:r/>
    </w:p>
    <w:p>
      <w:pPr>
        <w:pStyle w:val="461"/>
        <w:ind w:left="0" w:right="0" w:firstLine="567"/>
        <w:jc w:val="both"/>
        <w:tabs>
          <w:tab w:val="left" w:pos="567" w:leader="none"/>
        </w:tabs>
        <w:rPr>
          <w:color w:val="FF0000"/>
          <w:sz w:val="28"/>
          <w:szCs w:val="28"/>
          <w:shd w:val="clear" w:fill="FFFFFF" w:color="FFFFFF"/>
        </w:rPr>
      </w:pPr>
      <w:r>
        <w:rPr>
          <w:color w:val="FF0000"/>
          <w:sz w:val="28"/>
          <w:szCs w:val="28"/>
          <w:shd w:val="clear" w:fill="FFFFFF" w:color="FFFFFF"/>
        </w:rPr>
      </w:r>
      <w:r/>
    </w:p>
    <w:p>
      <w:pPr>
        <w:pStyle w:val="461"/>
      </w:pPr>
      <w:r>
        <w:rPr>
          <w:b/>
          <w:bCs/>
          <w:i/>
          <w:iCs/>
          <w:u w:val="single"/>
          <w:shd w:val="clear" w:fill="FFFFFF" w:color="FFFFFF"/>
          <w:lang w:eastAsia="ru-RU"/>
        </w:rPr>
        <w:t xml:space="preserve">Общественное питание</w:t>
      </w:r>
      <w:r/>
    </w:p>
    <w:p>
      <w:pPr>
        <w:pStyle w:val="461"/>
        <w:ind w:left="0" w:right="0" w:firstLine="567"/>
        <w:jc w:val="both"/>
        <w:tabs>
          <w:tab w:val="left" w:pos="567" w:leader="none"/>
        </w:tabs>
        <w:rPr>
          <w:b/>
          <w:bCs/>
          <w:i/>
          <w:iCs/>
          <w:sz w:val="28"/>
          <w:szCs w:val="28"/>
          <w:u w:val="single"/>
          <w:shd w:val="clear" w:fill="FFFFFF" w:color="FFFFFF"/>
          <w:lang w:eastAsia="ru-RU"/>
        </w:rPr>
      </w:pPr>
      <w:r>
        <w:rPr>
          <w:b/>
          <w:bCs/>
          <w:i/>
          <w:iCs/>
          <w:sz w:val="28"/>
          <w:szCs w:val="28"/>
          <w:u w:val="single"/>
          <w:shd w:val="clear" w:fill="FFFFFF" w:color="FFFFFF"/>
          <w:lang w:eastAsia="ru-RU"/>
        </w:rPr>
      </w:r>
      <w:r/>
    </w:p>
    <w:p>
      <w:pPr>
        <w:pStyle w:val="461"/>
        <w:ind w:left="0" w:right="0" w:firstLine="567"/>
        <w:jc w:val="both"/>
        <w:tabs>
          <w:tab w:val="left" w:pos="567" w:leader="none"/>
        </w:tabs>
      </w:pPr>
      <w:r>
        <w:rPr>
          <w:sz w:val="28"/>
          <w:szCs w:val="28"/>
          <w:shd w:val="clear" w:fill="FFFFFF" w:color="FFFFFF"/>
        </w:rPr>
        <w:t xml:space="preserve">За январь-февраль 2023 года оборот общественного питания по крупным и средним предприятиям выполнен на 39,8 % и составил 29,0 млн. рублей.</w:t>
      </w:r>
      <w:r/>
    </w:p>
    <w:p>
      <w:pPr>
        <w:pStyle w:val="461"/>
        <w:jc w:val="center"/>
        <w:rPr>
          <w:b/>
          <w:bCs/>
          <w:sz w:val="28"/>
          <w:szCs w:val="28"/>
          <w:shd w:val="clear" w:fill="FFFFFF" w:color="FFFFFF"/>
          <w:lang w:eastAsia="ru-RU"/>
        </w:rPr>
      </w:pPr>
      <w:r>
        <w:rPr>
          <w:b/>
          <w:bCs/>
          <w:sz w:val="28"/>
          <w:szCs w:val="28"/>
          <w:shd w:val="clear" w:fill="FFFFFF" w:color="FFFFFF"/>
          <w:lang w:eastAsia="ru-RU"/>
        </w:rPr>
      </w:r>
      <w:r/>
    </w:p>
    <w:p>
      <w:pPr>
        <w:pStyle w:val="461"/>
        <w:jc w:val="center"/>
      </w:pPr>
      <w:r>
        <w:rPr>
          <w:b/>
          <w:bCs/>
          <w:shd w:val="clear" w:fill="FFFFFF" w:color="FFFFFF"/>
          <w:lang w:eastAsia="ru-RU"/>
        </w:rPr>
        <w:t xml:space="preserve">Курортно-туристский комплекс</w:t>
      </w:r>
      <w:r/>
    </w:p>
    <w:p>
      <w:pPr>
        <w:pStyle w:val="461"/>
        <w:jc w:val="center"/>
        <w:rPr>
          <w:b/>
          <w:bCs/>
          <w:shd w:val="clear" w:fill="FFFFFF" w:color="FFFFFF"/>
          <w:lang w:eastAsia="ru-RU"/>
        </w:rPr>
      </w:pPr>
      <w:r>
        <w:rPr>
          <w:b/>
          <w:bCs/>
          <w:shd w:val="clear" w:fill="FFFFFF" w:color="FFFFFF"/>
          <w:lang w:eastAsia="ru-RU"/>
        </w:rPr>
      </w:r>
      <w:r/>
    </w:p>
    <w:p>
      <w:pPr>
        <w:pStyle w:val="461"/>
        <w:ind w:left="0" w:right="0" w:firstLine="567"/>
        <w:jc w:val="both"/>
        <w:tabs>
          <w:tab w:val="left" w:pos="567" w:leader="none"/>
        </w:tabs>
      </w:pPr>
      <w:r>
        <w:rPr>
          <w:sz w:val="28"/>
          <w:szCs w:val="28"/>
          <w:shd w:val="clear" w:fill="FFFFFF" w:color="FFFFFF"/>
        </w:rPr>
        <w:t xml:space="preserve">За январь-февраль 2023 года объем услуг крупных и средних предприятий курортно-туристского комплекса составил 114</w:t>
      </w:r>
      <w:r>
        <w:rPr>
          <w:color w:val="000000"/>
          <w:sz w:val="28"/>
          <w:szCs w:val="28"/>
          <w:shd w:val="clear" w:fill="FFFFFF" w:color="FFFFFF"/>
        </w:rPr>
        <w:t xml:space="preserve">,3 </w:t>
      </w:r>
      <w:r>
        <w:rPr>
          <w:sz w:val="28"/>
          <w:szCs w:val="28"/>
          <w:shd w:val="clear" w:fill="FFFFFF" w:color="FFFFFF"/>
        </w:rPr>
        <w:t xml:space="preserve">млн. рублей (149,5 % к аналогичному периоду 2022 год</w:t>
      </w:r>
      <w:r>
        <w:rPr>
          <w:color w:val="000000"/>
          <w:sz w:val="28"/>
          <w:szCs w:val="28"/>
          <w:shd w:val="clear" w:fill="FFFFFF" w:color="FFFFFF"/>
        </w:rPr>
        <w:t xml:space="preserve">а</w:t>
      </w:r>
      <w:r>
        <w:rPr>
          <w:sz w:val="28"/>
          <w:szCs w:val="28"/>
          <w:shd w:val="clear" w:fill="FFFFFF" w:color="FFFFFF"/>
        </w:rPr>
        <w:t xml:space="preserve">).</w:t>
      </w:r>
      <w:r/>
    </w:p>
    <w:p>
      <w:pPr>
        <w:pStyle w:val="461"/>
        <w:ind w:left="0" w:right="0" w:firstLine="567"/>
        <w:jc w:val="both"/>
        <w:tabs>
          <w:tab w:val="left" w:pos="567" w:leader="none"/>
        </w:tabs>
      </w:pPr>
      <w:r>
        <w:rPr>
          <w:sz w:val="28"/>
          <w:szCs w:val="28"/>
          <w:shd w:val="clear" w:fill="FFFFFF" w:color="FFFFFF"/>
        </w:rPr>
        <w:t xml:space="preserve">Средняя заполняемость санаторно-курортных учреждений за январьфевраль  202</w:t>
      </w:r>
      <w:r>
        <w:rPr>
          <w:color w:val="000000"/>
          <w:sz w:val="28"/>
          <w:szCs w:val="28"/>
          <w:shd w:val="clear" w:fill="FFFFFF" w:color="FFFFFF"/>
        </w:rPr>
        <w:t xml:space="preserve">3</w:t>
      </w:r>
      <w:r>
        <w:rPr>
          <w:sz w:val="28"/>
          <w:szCs w:val="28"/>
          <w:shd w:val="clear" w:fill="FFFFFF" w:color="FFFFFF"/>
        </w:rPr>
        <w:t xml:space="preserve"> года составила 58 %.  </w:t>
      </w:r>
      <w:r/>
    </w:p>
    <w:p>
      <w:pPr>
        <w:pStyle w:val="461"/>
        <w:ind w:left="0" w:right="0" w:firstLine="567"/>
        <w:jc w:val="both"/>
        <w:tabs>
          <w:tab w:val="left" w:pos="567" w:leader="none"/>
        </w:tabs>
        <w:rPr>
          <w:sz w:val="28"/>
          <w:szCs w:val="28"/>
          <w:shd w:val="clear" w:fill="FFFFFF" w:color="FFFFFF"/>
        </w:rPr>
      </w:pPr>
      <w:r>
        <w:rPr>
          <w:sz w:val="28"/>
          <w:szCs w:val="28"/>
          <w:shd w:val="clear" w:fill="FFFFFF" w:color="FFFFFF"/>
        </w:rPr>
      </w:r>
      <w:r/>
    </w:p>
    <w:p>
      <w:pPr>
        <w:pStyle w:val="461"/>
        <w:ind w:left="0" w:right="0" w:firstLine="567"/>
        <w:jc w:val="both"/>
        <w:tabs>
          <w:tab w:val="left" w:pos="567" w:leader="none"/>
        </w:tabs>
      </w:pPr>
      <w:r>
        <w:rPr>
          <w:sz w:val="28"/>
          <w:szCs w:val="28"/>
          <w:shd w:val="clear" w:fill="FFFFFF" w:color="FFFFFF"/>
        </w:rPr>
        <w:t xml:space="preserve">*- данные приводятся с опозданием на один месяц</w:t>
      </w:r>
      <w:r/>
    </w:p>
    <w:sectPr>
      <w:headerReference w:type="default" r:id="rId9"/>
      <w:headerReference w:type="first" r:id="rId10"/>
      <w:footnotePr>
        <w:numFmt w:val="decimal"/>
        <w:numRestart w:val="continuous"/>
      </w:footnotePr>
      <w:endnotePr>
        <w:numFmt w:val="lowerRoman"/>
      </w:endnotePr>
      <w:type w:val="nextPage"/>
      <w:pgSz w:w="11906" w:h="16838" w:orient="portrait"/>
      <w:pgMar w:top="993" w:right="567" w:bottom="851" w:left="1701" w:header="720" w:footer="709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Tahoma">
    <w:panose1 w:val="020B0604030504040204"/>
  </w:font>
  <w:font w:name="Wingdings">
    <w:panose1 w:val="05030102010509060703"/>
  </w:font>
  <w:font w:name="Courier New">
    <w:panose1 w:val="02070309020205020404"/>
  </w:font>
  <w:font w:name="Symbol"/>
  <w:font w:name="Cambria">
    <w:panose1 w:val="02040503050406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80"/>
      <w:ind w:left="0" w:right="360" w:firstLine="0"/>
    </w:pPr>
    <w:r>
      <mc:AlternateContent>
        <mc:Choice Requires="wpg">
          <w:drawing>
            <wp:anchor xmlns:wp="http://schemas.openxmlformats.org/drawingml/2006/wordprocessingDrawing" distT="0" distB="0" distL="0" distR="0" simplePos="0" relativeHeight="524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8420" cy="152400"/>
              <wp:effectExtent l="0" t="0" r="0" b="0"/>
              <wp:wrapSquare wrapText="bothSides"/>
              <wp:docPr id="1" name="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AdjustHandles="0" noChangeArrowheads="0"/>
                    </wps:cNvSpPr>
                    <wps:spPr bwMode="auto">
                      <a:xfrm>
                        <a:off x="0" y="0"/>
                        <a:ext cx="58420" cy="1524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80"/>
                          </w:pPr>
                          <w:r>
                            <w:rPr>
                              <w:rStyle w:val="558"/>
                            </w:rPr>
                            <w:fldChar w:fldCharType="begin"/>
                          </w:r>
                          <w:r>
                            <w:rPr>
                              <w:rStyle w:val="558"/>
                            </w:rPr>
                            <w:instrText xml:space="preserve"> PAGE </w:instrText>
                          </w:r>
                          <w:r>
                            <w:rPr>
                              <w:rStyle w:val="558"/>
                            </w:rPr>
                            <w:fldChar w:fldCharType="separate"/>
                          </w:r>
                          <w:r>
                            <w:rPr>
                              <w:rStyle w:val="558"/>
                            </w:rPr>
                            <w:t xml:space="preserve">2</w:t>
                          </w:r>
                          <w:r>
                            <w:rPr>
                              <w:rStyle w:val="558"/>
                            </w:rPr>
                            <w:fldChar w:fldCharType="end"/>
                          </w:r>
                          <w:r/>
                        </w:p>
                        <w:p>
                          <w:pPr>
                            <w:pStyle w:val="461"/>
                          </w:pPr>
                          <w:r/>
                          <w:r/>
                        </w:p>
                      </w:txbxContent>
                    </wps:txbx>
                    <wps:bodyPr wrap="square" lIns="22225" tIns="22225" rIns="22225" bIns="22225"/>
                  </wps:wsp>
                </a:graphicData>
              </a:graphic>
            </wp:anchor>
          </w:drawing>
        </mc:Choice>
        <mc:Fallback>
          <w:pict>
            <v:shape id="shape 0" o:spid="_x0000_s0" o:spt="1" style="position:absolute;mso-wrap-distance-left:0.0pt;mso-wrap-distance-top:0.0pt;mso-wrap-distance-right:0.0pt;mso-wrap-distance-bottom:0.0pt;z-index:524288;o:allowoverlap:true;o:allowincell:true;mso-position-horizontal-relative:margin;mso-position-horizontal:center;mso-position-vertical-relative:text;margin-top:0.0pt;mso-position-vertical:absolute;width:4.6pt;height:12.0pt;" coordsize="100000,100000" path="" fillcolor="#FFFFFF">
              <v:path textboxrect="0,0,0,0"/>
              <v:fill opacity="100f"/>
              <w10:wrap type="square"/>
              <v:textbox>
                <w:txbxContent>
                  <w:p>
                    <w:pPr>
                      <w:pStyle w:val="580"/>
                    </w:pPr>
                    <w:r>
                      <w:rPr>
                        <w:rStyle w:val="558"/>
                      </w:rPr>
                      <w:fldChar w:fldCharType="begin"/>
                    </w:r>
                    <w:r>
                      <w:rPr>
                        <w:rStyle w:val="558"/>
                      </w:rPr>
                      <w:instrText xml:space="preserve"> PAGE </w:instrText>
                    </w:r>
                    <w:r>
                      <w:rPr>
                        <w:rStyle w:val="558"/>
                      </w:rPr>
                      <w:fldChar w:fldCharType="separate"/>
                    </w:r>
                    <w:r>
                      <w:rPr>
                        <w:rStyle w:val="558"/>
                      </w:rPr>
                      <w:t xml:space="preserve">2</w:t>
                    </w:r>
                    <w:r>
                      <w:rPr>
                        <w:rStyle w:val="558"/>
                      </w:rPr>
                      <w:fldChar w:fldCharType="end"/>
                    </w:r>
                    <w:r/>
                  </w:p>
                  <w:p>
                    <w:pPr>
                      <w:pStyle w:val="461"/>
                    </w:pPr>
                    <w:r/>
                    <w:r/>
                  </w:p>
                </w:txbxContent>
              </v:textbox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8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462"/>
      <w:isLgl w:val="false"/>
      <w:suff w:val="nothing"/>
      <w:lvlText w:val=""/>
      <w:lvlJc w:val="left"/>
      <w:pPr>
        <w:pStyle w:val="461"/>
        <w:ind w:left="0" w:firstLine="0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461"/>
        <w:ind w:left="0" w:firstLine="0"/>
        <w:tabs>
          <w:tab w:val="num" w:pos="0" w:leader="none"/>
        </w:tabs>
      </w:pPr>
    </w:lvl>
    <w:lvl w:ilvl="2">
      <w:start w:val="1"/>
      <w:numFmt w:val="decimal"/>
      <w:pStyle w:val="463"/>
      <w:isLgl w:val="false"/>
      <w:suff w:val="nothing"/>
      <w:lvlText w:val=""/>
      <w:lvlJc w:val="left"/>
      <w:pPr>
        <w:pStyle w:val="461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461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461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461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461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461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461"/>
        <w:ind w:left="0" w:firstLine="0"/>
        <w:tabs>
          <w:tab w:val="num" w:pos="0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371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61"/>
    <w:next w:val="461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461"/>
    <w:next w:val="461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61"/>
    <w:next w:val="461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61"/>
    <w:next w:val="461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61"/>
    <w:next w:val="461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61"/>
    <w:next w:val="461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61"/>
    <w:next w:val="461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61"/>
    <w:next w:val="461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61"/>
    <w:next w:val="461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461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461"/>
    <w:next w:val="461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461"/>
    <w:next w:val="461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461"/>
    <w:next w:val="461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61"/>
    <w:next w:val="461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461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461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461"/>
    <w:next w:val="46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46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6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4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4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4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4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4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4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4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4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4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4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4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4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4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4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4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4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4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4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4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4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61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46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461"/>
    <w:next w:val="46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61"/>
    <w:next w:val="46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61"/>
    <w:next w:val="46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61"/>
    <w:next w:val="46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61"/>
    <w:next w:val="46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61"/>
    <w:next w:val="46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61"/>
    <w:next w:val="46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61"/>
    <w:next w:val="46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61"/>
    <w:next w:val="46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table" w:styleId="46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461" w:default="1">
    <w:name w:val="Normal"/>
    <w:next w:val="461"/>
    <w:link w:val="461"/>
    <w:rPr>
      <w:rFonts w:ascii="Times New Roman" w:hAnsi="Times New Roman" w:eastAsia="Times New Roman"/>
      <w:color w:val="auto"/>
      <w:sz w:val="24"/>
      <w:szCs w:val="24"/>
      <w:lang w:val="ru-RU" w:bidi="ar-SA" w:eastAsia="zh-CN"/>
    </w:rPr>
    <w:pPr>
      <w:widowControl/>
    </w:pPr>
  </w:style>
  <w:style w:type="paragraph" w:styleId="462">
    <w:name w:val="Заголовок 1"/>
    <w:basedOn w:val="461"/>
    <w:next w:val="461"/>
    <w:rPr>
      <w:sz w:val="26"/>
      <w:szCs w:val="20"/>
    </w:rPr>
    <w:pPr>
      <w:numPr>
        <w:ilvl w:val="0"/>
        <w:numId w:val="1"/>
      </w:numPr>
      <w:jc w:val="center"/>
      <w:keepNext/>
      <w:outlineLvl w:val="0"/>
    </w:pPr>
  </w:style>
  <w:style w:type="paragraph" w:styleId="463">
    <w:name w:val="Заголовок 3"/>
    <w:basedOn w:val="461"/>
    <w:next w:val="461"/>
    <w:link w:val="461"/>
    <w:rPr>
      <w:rFonts w:ascii="Cambria" w:hAnsi="Cambria" w:eastAsia="Times New Roman"/>
      <w:b/>
      <w:bCs/>
      <w:sz w:val="26"/>
      <w:szCs w:val="26"/>
    </w:rPr>
    <w:pPr>
      <w:numPr>
        <w:ilvl w:val="2"/>
        <w:numId w:val="1"/>
      </w:numPr>
      <w:keepNext/>
      <w:spacing w:after="60" w:before="240"/>
      <w:outlineLvl w:val="2"/>
    </w:pPr>
  </w:style>
  <w:style w:type="character" w:styleId="464">
    <w:name w:val="WW8Num1z0"/>
    <w:next w:val="464"/>
  </w:style>
  <w:style w:type="character" w:styleId="465">
    <w:name w:val="WW8Num1z1"/>
    <w:next w:val="465"/>
    <w:link w:val="461"/>
  </w:style>
  <w:style w:type="character" w:styleId="466">
    <w:name w:val="WW8Num1z2"/>
    <w:next w:val="466"/>
    <w:link w:val="461"/>
  </w:style>
  <w:style w:type="character" w:styleId="467">
    <w:name w:val="WW8Num1z3"/>
    <w:next w:val="467"/>
    <w:link w:val="461"/>
  </w:style>
  <w:style w:type="character" w:styleId="468">
    <w:name w:val="WW8Num1z4"/>
    <w:next w:val="468"/>
    <w:link w:val="461"/>
  </w:style>
  <w:style w:type="character" w:styleId="469">
    <w:name w:val="WW8Num1z5"/>
    <w:next w:val="469"/>
    <w:link w:val="461"/>
  </w:style>
  <w:style w:type="character" w:styleId="470">
    <w:name w:val="WW8Num1z6"/>
    <w:next w:val="470"/>
    <w:link w:val="461"/>
  </w:style>
  <w:style w:type="character" w:styleId="471">
    <w:name w:val="WW8Num1z7"/>
    <w:next w:val="471"/>
    <w:link w:val="461"/>
  </w:style>
  <w:style w:type="character" w:styleId="472">
    <w:name w:val="WW8Num1z8"/>
    <w:next w:val="472"/>
    <w:link w:val="461"/>
  </w:style>
  <w:style w:type="character" w:styleId="473">
    <w:name w:val="Основной шрифт абзаца"/>
    <w:next w:val="473"/>
    <w:link w:val="461"/>
  </w:style>
  <w:style w:type="character" w:styleId="474">
    <w:name w:val="Основной шрифт абзаца4"/>
    <w:next w:val="474"/>
    <w:link w:val="481"/>
  </w:style>
  <w:style w:type="character" w:styleId="475">
    <w:name w:val="Основной шрифт абзаца3"/>
    <w:next w:val="475"/>
    <w:link w:val="481"/>
  </w:style>
  <w:style w:type="character" w:styleId="476">
    <w:name w:val="WW8Num2z0"/>
    <w:next w:val="476"/>
    <w:link w:val="481"/>
  </w:style>
  <w:style w:type="character" w:styleId="477">
    <w:name w:val="WW8Num2z1"/>
    <w:next w:val="477"/>
    <w:link w:val="461"/>
  </w:style>
  <w:style w:type="character" w:styleId="478">
    <w:name w:val="WW8Num2z2"/>
    <w:next w:val="478"/>
    <w:link w:val="461"/>
  </w:style>
  <w:style w:type="character" w:styleId="479">
    <w:name w:val="WW8Num2z3"/>
    <w:next w:val="479"/>
    <w:link w:val="461"/>
  </w:style>
  <w:style w:type="character" w:styleId="480">
    <w:name w:val="WW8Num2z4"/>
    <w:next w:val="480"/>
    <w:link w:val="461"/>
  </w:style>
  <w:style w:type="character" w:styleId="481">
    <w:name w:val="WW8Num2z5"/>
    <w:next w:val="481"/>
    <w:link w:val="461"/>
  </w:style>
  <w:style w:type="character" w:styleId="482">
    <w:name w:val="WW8Num2z6"/>
    <w:next w:val="482"/>
    <w:link w:val="461"/>
  </w:style>
  <w:style w:type="character" w:styleId="483">
    <w:name w:val="WW8Num2z7"/>
    <w:next w:val="483"/>
    <w:link w:val="461"/>
  </w:style>
  <w:style w:type="character" w:styleId="484">
    <w:name w:val="WW8Num2z8"/>
    <w:next w:val="484"/>
    <w:link w:val="461"/>
  </w:style>
  <w:style w:type="character" w:styleId="485">
    <w:name w:val="WW8Num3z0"/>
    <w:next w:val="485"/>
    <w:link w:val="461"/>
    <w:rPr>
      <w:rFonts w:ascii="Times New Roman" w:hAnsi="Times New Roman" w:eastAsia="Times New Roman"/>
    </w:rPr>
  </w:style>
  <w:style w:type="character" w:styleId="486">
    <w:name w:val="WW8Num3z1"/>
    <w:next w:val="486"/>
    <w:link w:val="461"/>
  </w:style>
  <w:style w:type="character" w:styleId="487">
    <w:name w:val="WW8Num3z2"/>
    <w:next w:val="487"/>
    <w:link w:val="461"/>
  </w:style>
  <w:style w:type="character" w:styleId="488">
    <w:name w:val="WW8Num3z3"/>
    <w:next w:val="488"/>
    <w:link w:val="461"/>
  </w:style>
  <w:style w:type="character" w:styleId="489">
    <w:name w:val="WW8Num3z4"/>
    <w:next w:val="489"/>
    <w:link w:val="461"/>
  </w:style>
  <w:style w:type="character" w:styleId="490">
    <w:name w:val="WW8Num3z5"/>
    <w:next w:val="490"/>
    <w:link w:val="461"/>
  </w:style>
  <w:style w:type="character" w:styleId="491">
    <w:name w:val="WW8Num3z6"/>
    <w:next w:val="491"/>
    <w:link w:val="461"/>
  </w:style>
  <w:style w:type="character" w:styleId="492">
    <w:name w:val="WW8Num3z7"/>
    <w:next w:val="492"/>
    <w:link w:val="461"/>
  </w:style>
  <w:style w:type="character" w:styleId="493">
    <w:name w:val="WW8Num3z8"/>
    <w:next w:val="493"/>
    <w:link w:val="461"/>
  </w:style>
  <w:style w:type="character" w:styleId="494">
    <w:name w:val="WW8Num4z0"/>
    <w:next w:val="494"/>
    <w:link w:val="461"/>
  </w:style>
  <w:style w:type="character" w:styleId="495">
    <w:name w:val="WW8Num4z1"/>
    <w:next w:val="495"/>
    <w:link w:val="461"/>
  </w:style>
  <w:style w:type="character" w:styleId="496">
    <w:name w:val="WW8Num4z2"/>
    <w:next w:val="496"/>
    <w:link w:val="461"/>
  </w:style>
  <w:style w:type="character" w:styleId="497">
    <w:name w:val="WW8Num4z3"/>
    <w:next w:val="497"/>
    <w:link w:val="461"/>
  </w:style>
  <w:style w:type="character" w:styleId="498">
    <w:name w:val="WW8Num4z4"/>
    <w:next w:val="498"/>
    <w:link w:val="461"/>
  </w:style>
  <w:style w:type="character" w:styleId="499">
    <w:name w:val="WW8Num4z5"/>
    <w:next w:val="499"/>
    <w:link w:val="461"/>
  </w:style>
  <w:style w:type="character" w:styleId="500">
    <w:name w:val="WW8Num4z6"/>
    <w:next w:val="500"/>
    <w:link w:val="461"/>
  </w:style>
  <w:style w:type="character" w:styleId="501">
    <w:name w:val="WW8Num4z7"/>
    <w:next w:val="501"/>
    <w:link w:val="461"/>
  </w:style>
  <w:style w:type="character" w:styleId="502">
    <w:name w:val="WW8Num4z8"/>
    <w:next w:val="502"/>
    <w:link w:val="461"/>
  </w:style>
  <w:style w:type="character" w:styleId="503">
    <w:name w:val="WW8Num5z0"/>
    <w:next w:val="503"/>
    <w:link w:val="461"/>
  </w:style>
  <w:style w:type="character" w:styleId="504">
    <w:name w:val="WW8Num5z1"/>
    <w:next w:val="504"/>
    <w:link w:val="461"/>
  </w:style>
  <w:style w:type="character" w:styleId="505">
    <w:name w:val="WW8Num5z2"/>
    <w:next w:val="505"/>
    <w:link w:val="461"/>
  </w:style>
  <w:style w:type="character" w:styleId="506">
    <w:name w:val="WW8Num5z3"/>
    <w:next w:val="506"/>
    <w:link w:val="461"/>
  </w:style>
  <w:style w:type="character" w:styleId="507">
    <w:name w:val="WW8Num5z4"/>
    <w:next w:val="507"/>
    <w:link w:val="461"/>
  </w:style>
  <w:style w:type="character" w:styleId="508">
    <w:name w:val="WW8Num5z5"/>
    <w:next w:val="508"/>
    <w:link w:val="461"/>
  </w:style>
  <w:style w:type="character" w:styleId="509">
    <w:name w:val="WW8Num5z6"/>
    <w:next w:val="509"/>
    <w:link w:val="461"/>
  </w:style>
  <w:style w:type="character" w:styleId="510">
    <w:name w:val="WW8Num5z7"/>
    <w:next w:val="510"/>
    <w:link w:val="461"/>
  </w:style>
  <w:style w:type="character" w:styleId="511">
    <w:name w:val="WW8Num5z8"/>
    <w:next w:val="511"/>
    <w:link w:val="461"/>
  </w:style>
  <w:style w:type="character" w:styleId="512">
    <w:name w:val="WW8Num6z0"/>
    <w:next w:val="512"/>
    <w:link w:val="461"/>
  </w:style>
  <w:style w:type="character" w:styleId="513">
    <w:name w:val="WW8Num6z1"/>
    <w:next w:val="513"/>
    <w:link w:val="461"/>
  </w:style>
  <w:style w:type="character" w:styleId="514">
    <w:name w:val="WW8Num6z2"/>
    <w:next w:val="514"/>
    <w:link w:val="461"/>
  </w:style>
  <w:style w:type="character" w:styleId="515">
    <w:name w:val="WW8Num6z3"/>
    <w:next w:val="515"/>
    <w:link w:val="461"/>
  </w:style>
  <w:style w:type="character" w:styleId="516">
    <w:name w:val="WW8Num6z4"/>
    <w:next w:val="516"/>
    <w:link w:val="461"/>
  </w:style>
  <w:style w:type="character" w:styleId="517">
    <w:name w:val="WW8Num6z5"/>
    <w:next w:val="517"/>
    <w:link w:val="461"/>
  </w:style>
  <w:style w:type="character" w:styleId="518">
    <w:name w:val="WW8Num6z6"/>
    <w:next w:val="518"/>
    <w:link w:val="461"/>
  </w:style>
  <w:style w:type="character" w:styleId="519">
    <w:name w:val="WW8Num6z7"/>
    <w:next w:val="519"/>
    <w:link w:val="461"/>
  </w:style>
  <w:style w:type="character" w:styleId="520">
    <w:name w:val="WW8Num6z8"/>
    <w:next w:val="520"/>
    <w:link w:val="461"/>
  </w:style>
  <w:style w:type="character" w:styleId="521">
    <w:name w:val="WW8Num7z0"/>
    <w:next w:val="521"/>
    <w:link w:val="461"/>
  </w:style>
  <w:style w:type="character" w:styleId="522">
    <w:name w:val="WW8Num7z1"/>
    <w:next w:val="522"/>
    <w:link w:val="461"/>
  </w:style>
  <w:style w:type="character" w:styleId="523">
    <w:name w:val="WW8Num7z2"/>
    <w:next w:val="523"/>
    <w:link w:val="461"/>
  </w:style>
  <w:style w:type="character" w:styleId="524">
    <w:name w:val="WW8Num7z3"/>
    <w:next w:val="524"/>
    <w:link w:val="461"/>
  </w:style>
  <w:style w:type="character" w:styleId="525">
    <w:name w:val="WW8Num7z4"/>
    <w:next w:val="525"/>
    <w:link w:val="461"/>
  </w:style>
  <w:style w:type="character" w:styleId="526">
    <w:name w:val="WW8Num7z5"/>
    <w:next w:val="526"/>
    <w:link w:val="461"/>
  </w:style>
  <w:style w:type="character" w:styleId="527">
    <w:name w:val="WW8Num7z6"/>
    <w:next w:val="527"/>
    <w:link w:val="461"/>
  </w:style>
  <w:style w:type="character" w:styleId="528">
    <w:name w:val="WW8Num7z7"/>
    <w:next w:val="528"/>
    <w:link w:val="461"/>
  </w:style>
  <w:style w:type="character" w:styleId="529">
    <w:name w:val="WW8Num7z8"/>
    <w:next w:val="529"/>
    <w:link w:val="461"/>
  </w:style>
  <w:style w:type="character" w:styleId="530">
    <w:name w:val="WW8Num8z0"/>
    <w:next w:val="530"/>
    <w:link w:val="461"/>
  </w:style>
  <w:style w:type="character" w:styleId="531">
    <w:name w:val="WW8Num8z1"/>
    <w:next w:val="531"/>
    <w:link w:val="461"/>
  </w:style>
  <w:style w:type="character" w:styleId="532">
    <w:name w:val="WW8Num8z2"/>
    <w:next w:val="532"/>
    <w:link w:val="461"/>
  </w:style>
  <w:style w:type="character" w:styleId="533">
    <w:name w:val="WW8Num8z3"/>
    <w:next w:val="533"/>
    <w:link w:val="461"/>
  </w:style>
  <w:style w:type="character" w:styleId="534">
    <w:name w:val="WW8Num8z4"/>
    <w:next w:val="534"/>
    <w:link w:val="461"/>
  </w:style>
  <w:style w:type="character" w:styleId="535">
    <w:name w:val="WW8Num8z5"/>
    <w:next w:val="535"/>
    <w:link w:val="461"/>
  </w:style>
  <w:style w:type="character" w:styleId="536">
    <w:name w:val="WW8Num8z6"/>
    <w:next w:val="536"/>
    <w:link w:val="461"/>
  </w:style>
  <w:style w:type="character" w:styleId="537">
    <w:name w:val="WW8Num8z7"/>
    <w:next w:val="537"/>
    <w:link w:val="461"/>
  </w:style>
  <w:style w:type="character" w:styleId="538">
    <w:name w:val="WW8Num8z8"/>
    <w:next w:val="538"/>
    <w:link w:val="461"/>
  </w:style>
  <w:style w:type="character" w:styleId="539">
    <w:name w:val="Основной шрифт абзаца2"/>
    <w:next w:val="539"/>
    <w:link w:val="461"/>
  </w:style>
  <w:style w:type="character" w:styleId="540">
    <w:name w:val="Absatz-Standardschriftart"/>
    <w:next w:val="540"/>
    <w:link w:val="481"/>
  </w:style>
  <w:style w:type="character" w:styleId="541">
    <w:name w:val="WW-Absatz-Standardschriftart"/>
    <w:next w:val="541"/>
    <w:link w:val="549"/>
  </w:style>
  <w:style w:type="character" w:styleId="542">
    <w:name w:val="WW-Absatz-Standardschriftart1"/>
    <w:next w:val="542"/>
    <w:link w:val="571"/>
  </w:style>
  <w:style w:type="character" w:styleId="543">
    <w:name w:val="WW-Absatz-Standardschriftart11"/>
    <w:next w:val="543"/>
    <w:link w:val="571"/>
  </w:style>
  <w:style w:type="character" w:styleId="544">
    <w:name w:val="WW-Absatz-Standardschriftart111"/>
    <w:next w:val="544"/>
    <w:link w:val="571"/>
  </w:style>
  <w:style w:type="character" w:styleId="545">
    <w:name w:val="WW-Absatz-Standardschriftart1111"/>
    <w:next w:val="545"/>
    <w:link w:val="571"/>
  </w:style>
  <w:style w:type="character" w:styleId="546">
    <w:name w:val="WW-Absatz-Standardschriftart11111"/>
    <w:next w:val="546"/>
    <w:link w:val="571"/>
  </w:style>
  <w:style w:type="character" w:styleId="547">
    <w:name w:val="WW-Absatz-Standardschriftart111111"/>
    <w:next w:val="547"/>
    <w:link w:val="571"/>
  </w:style>
  <w:style w:type="character" w:styleId="548">
    <w:name w:val="WW-Absatz-Standardschriftart1111111"/>
    <w:next w:val="548"/>
    <w:link w:val="571"/>
  </w:style>
  <w:style w:type="character" w:styleId="549">
    <w:name w:val="WW-Absatz-Standardschriftart11111111"/>
    <w:next w:val="549"/>
    <w:link w:val="571"/>
  </w:style>
  <w:style w:type="character" w:styleId="550">
    <w:name w:val="WW-Absatz-Standardschriftart111111111"/>
    <w:next w:val="550"/>
    <w:link w:val="461"/>
  </w:style>
  <w:style w:type="character" w:styleId="551">
    <w:name w:val="WW-Absatz-Standardschriftart1111111111"/>
    <w:next w:val="551"/>
    <w:link w:val="571"/>
  </w:style>
  <w:style w:type="character" w:styleId="552">
    <w:name w:val="WW-Absatz-Standardschriftart11111111111"/>
    <w:next w:val="552"/>
    <w:link w:val="571"/>
  </w:style>
  <w:style w:type="character" w:styleId="553">
    <w:name w:val="WW-Absatz-Standardschriftart111111111111"/>
    <w:next w:val="553"/>
    <w:link w:val="571"/>
  </w:style>
  <w:style w:type="character" w:styleId="554">
    <w:name w:val="WW8Num9z0"/>
    <w:next w:val="554"/>
    <w:rPr>
      <w:rFonts w:ascii="Symbol" w:hAnsi="Symbol"/>
    </w:rPr>
  </w:style>
  <w:style w:type="character" w:styleId="555">
    <w:name w:val="WW8Num9z1"/>
    <w:next w:val="555"/>
    <w:link w:val="461"/>
    <w:rPr>
      <w:rFonts w:ascii="Courier New" w:hAnsi="Courier New"/>
    </w:rPr>
  </w:style>
  <w:style w:type="character" w:styleId="556">
    <w:name w:val="WW8Num9z2"/>
    <w:next w:val="556"/>
    <w:link w:val="461"/>
    <w:rPr>
      <w:rFonts w:ascii="Wingdings" w:hAnsi="Wingdings"/>
    </w:rPr>
  </w:style>
  <w:style w:type="character" w:styleId="557">
    <w:name w:val="Основной шрифт абзаца1"/>
    <w:next w:val="557"/>
    <w:link w:val="461"/>
  </w:style>
  <w:style w:type="character" w:styleId="558">
    <w:name w:val="Номер страницы"/>
    <w:basedOn w:val="557"/>
    <w:next w:val="558"/>
    <w:link w:val="481"/>
  </w:style>
  <w:style w:type="character" w:styleId="559">
    <w:name w:val="Схема документа Знак"/>
    <w:next w:val="559"/>
    <w:link w:val="461"/>
    <w:rPr>
      <w:rFonts w:ascii="Tahoma" w:hAnsi="Tahoma"/>
      <w:sz w:val="16"/>
      <w:szCs w:val="16"/>
    </w:rPr>
  </w:style>
  <w:style w:type="character" w:styleId="560">
    <w:name w:val="Заголовок 3 Знак"/>
    <w:next w:val="560"/>
    <w:rPr>
      <w:rFonts w:ascii="Cambria" w:hAnsi="Cambria" w:eastAsia="Times New Roman"/>
      <w:b/>
      <w:bCs/>
      <w:sz w:val="26"/>
      <w:szCs w:val="26"/>
    </w:rPr>
  </w:style>
  <w:style w:type="paragraph" w:styleId="561">
    <w:name w:val="Заголовок"/>
    <w:basedOn w:val="461"/>
    <w:next w:val="562"/>
    <w:link w:val="461"/>
    <w:rPr>
      <w:rFonts w:ascii="Arial" w:hAnsi="Arial" w:eastAsia="Lucida Sans Unicode"/>
      <w:sz w:val="28"/>
      <w:szCs w:val="28"/>
    </w:rPr>
    <w:pPr>
      <w:keepNext/>
      <w:spacing w:after="120" w:before="240"/>
    </w:pPr>
  </w:style>
  <w:style w:type="paragraph" w:styleId="562">
    <w:name w:val="Основной текст"/>
    <w:basedOn w:val="461"/>
    <w:next w:val="562"/>
    <w:link w:val="461"/>
    <w:rPr>
      <w:sz w:val="28"/>
    </w:rPr>
  </w:style>
  <w:style w:type="paragraph" w:styleId="563">
    <w:name w:val="Список"/>
    <w:basedOn w:val="562"/>
    <w:next w:val="563"/>
    <w:link w:val="461"/>
    <w:rPr>
      <w:rFonts w:ascii="Arial" w:hAnsi="Arial"/>
    </w:rPr>
  </w:style>
  <w:style w:type="paragraph" w:styleId="564">
    <w:name w:val="Название"/>
    <w:basedOn w:val="461"/>
    <w:next w:val="564"/>
    <w:link w:val="461"/>
    <w:rPr>
      <w:i/>
      <w:iCs/>
      <w:sz w:val="24"/>
      <w:szCs w:val="24"/>
    </w:rPr>
    <w:pPr>
      <w:spacing w:after="120" w:before="120"/>
      <w:suppressLineNumbers/>
    </w:pPr>
  </w:style>
  <w:style w:type="paragraph" w:styleId="565">
    <w:name w:val="Указатель"/>
    <w:basedOn w:val="461"/>
    <w:next w:val="565"/>
    <w:link w:val="461"/>
    <w:pPr>
      <w:suppressLineNumbers/>
    </w:pPr>
  </w:style>
  <w:style w:type="paragraph" w:styleId="566">
    <w:name w:val="Название объекта"/>
    <w:basedOn w:val="461"/>
    <w:next w:val="566"/>
    <w:link w:val="461"/>
    <w:rPr>
      <w:i/>
      <w:iCs/>
      <w:sz w:val="24"/>
      <w:szCs w:val="24"/>
    </w:rPr>
    <w:pPr>
      <w:spacing w:after="120" w:before="120"/>
      <w:suppressLineNumbers/>
    </w:pPr>
  </w:style>
  <w:style w:type="paragraph" w:styleId="567">
    <w:name w:val="Указатель4"/>
    <w:basedOn w:val="461"/>
    <w:next w:val="567"/>
    <w:link w:val="461"/>
    <w:pPr>
      <w:suppressLineNumbers/>
    </w:pPr>
  </w:style>
  <w:style w:type="paragraph" w:styleId="568">
    <w:name w:val="Название объекта2"/>
    <w:basedOn w:val="461"/>
    <w:next w:val="568"/>
    <w:link w:val="461"/>
    <w:rPr>
      <w:i/>
      <w:iCs/>
      <w:sz w:val="24"/>
      <w:szCs w:val="24"/>
    </w:rPr>
    <w:pPr>
      <w:spacing w:after="120" w:before="120"/>
      <w:suppressLineNumbers/>
    </w:pPr>
  </w:style>
  <w:style w:type="paragraph" w:styleId="569">
    <w:name w:val="Указатель3"/>
    <w:basedOn w:val="461"/>
    <w:next w:val="569"/>
    <w:link w:val="481"/>
    <w:pPr>
      <w:suppressLineNumbers/>
    </w:pPr>
  </w:style>
  <w:style w:type="paragraph" w:styleId="570">
    <w:name w:val="Название объекта1"/>
    <w:basedOn w:val="461"/>
    <w:next w:val="570"/>
    <w:link w:val="461"/>
    <w:rPr>
      <w:i/>
      <w:iCs/>
      <w:sz w:val="24"/>
      <w:szCs w:val="24"/>
    </w:rPr>
    <w:pPr>
      <w:spacing w:after="120" w:before="120"/>
      <w:suppressLineNumbers/>
    </w:pPr>
  </w:style>
  <w:style w:type="paragraph" w:styleId="571">
    <w:name w:val="Указатель2"/>
    <w:basedOn w:val="461"/>
    <w:next w:val="571"/>
    <w:link w:val="481"/>
    <w:pPr>
      <w:suppressLineNumbers/>
    </w:pPr>
  </w:style>
  <w:style w:type="paragraph" w:styleId="572">
    <w:name w:val="Название1"/>
    <w:basedOn w:val="461"/>
    <w:next w:val="572"/>
    <w:link w:val="461"/>
    <w:rPr>
      <w:rFonts w:ascii="Arial" w:hAnsi="Arial"/>
      <w:i/>
      <w:iCs/>
      <w:sz w:val="24"/>
      <w:szCs w:val="24"/>
    </w:rPr>
    <w:pPr>
      <w:spacing w:after="120" w:before="120"/>
      <w:suppressLineNumbers/>
    </w:pPr>
  </w:style>
  <w:style w:type="paragraph" w:styleId="573">
    <w:name w:val="Указатель1"/>
    <w:basedOn w:val="461"/>
    <w:next w:val="573"/>
    <w:link w:val="461"/>
    <w:rPr>
      <w:rFonts w:ascii="Arial" w:hAnsi="Arial"/>
    </w:rPr>
    <w:pPr>
      <w:suppressLineNumbers/>
    </w:pPr>
  </w:style>
  <w:style w:type="paragraph" w:styleId="574">
    <w:name w:val="Основной текст 21"/>
    <w:basedOn w:val="461"/>
    <w:next w:val="574"/>
    <w:link w:val="461"/>
    <w:rPr>
      <w:sz w:val="20"/>
      <w:szCs w:val="20"/>
    </w:rPr>
    <w:pPr>
      <w:spacing w:lineRule="auto" w:line="480" w:after="120" w:before="0"/>
    </w:pPr>
  </w:style>
  <w:style w:type="paragraph" w:styleId="575">
    <w:name w:val="заголовок 2"/>
    <w:basedOn w:val="461"/>
    <w:next w:val="461"/>
    <w:link w:val="481"/>
    <w:rPr>
      <w:rFonts w:ascii="Arial" w:hAnsi="Arial"/>
      <w:b/>
      <w:bCs/>
      <w:sz w:val="36"/>
      <w:szCs w:val="36"/>
    </w:rPr>
    <w:pPr>
      <w:jc w:val="center"/>
      <w:keepNext/>
    </w:pPr>
  </w:style>
  <w:style w:type="paragraph" w:styleId="576">
    <w:name w:val="Обычный (веб)"/>
    <w:basedOn w:val="461"/>
    <w:next w:val="576"/>
    <w:link w:val="461"/>
  </w:style>
  <w:style w:type="paragraph" w:styleId="577">
    <w:name w:val="Основной текст с отступом"/>
    <w:basedOn w:val="461"/>
    <w:next w:val="577"/>
    <w:link w:val="461"/>
    <w:pPr>
      <w:ind w:left="283" w:right="0" w:firstLine="0"/>
      <w:spacing w:after="120" w:before="0"/>
    </w:pPr>
  </w:style>
  <w:style w:type="paragraph" w:styleId="578">
    <w:name w:val="Текст выноски"/>
    <w:basedOn w:val="461"/>
    <w:next w:val="578"/>
    <w:rPr>
      <w:rFonts w:ascii="Tahoma" w:hAnsi="Tahoma"/>
      <w:sz w:val="16"/>
      <w:szCs w:val="16"/>
    </w:rPr>
  </w:style>
  <w:style w:type="paragraph" w:styleId="579">
    <w:name w:val="Верхний и нижний колонтитулы"/>
    <w:basedOn w:val="461"/>
    <w:next w:val="579"/>
    <w:link w:val="461"/>
    <w:pPr>
      <w:tabs>
        <w:tab w:val="center" w:pos="4819" w:leader="none"/>
        <w:tab w:val="right" w:pos="9638" w:leader="none"/>
      </w:tabs>
      <w:suppressLineNumbers/>
    </w:pPr>
  </w:style>
  <w:style w:type="paragraph" w:styleId="580">
    <w:name w:val="Верхний колонтитул"/>
    <w:basedOn w:val="461"/>
    <w:next w:val="580"/>
    <w:pPr>
      <w:tabs>
        <w:tab w:val="center" w:pos="4677" w:leader="none"/>
        <w:tab w:val="right" w:pos="9355" w:leader="none"/>
      </w:tabs>
    </w:pPr>
  </w:style>
  <w:style w:type="paragraph" w:styleId="581">
    <w:name w:val="Содержимое врезки"/>
    <w:basedOn w:val="562"/>
    <w:next w:val="581"/>
  </w:style>
  <w:style w:type="paragraph" w:styleId="582">
    <w:name w:val="Знак Знак Знак Знак"/>
    <w:basedOn w:val="461"/>
    <w:next w:val="582"/>
    <w:link w:val="461"/>
    <w:rPr>
      <w:sz w:val="20"/>
      <w:szCs w:val="20"/>
    </w:rPr>
    <w:pPr>
      <w:spacing w:lineRule="exact" w:line="240" w:after="160" w:before="0"/>
    </w:pPr>
  </w:style>
  <w:style w:type="paragraph" w:styleId="583">
    <w:name w:val="z-Конец формы"/>
    <w:basedOn w:val="461"/>
    <w:next w:val="461"/>
    <w:rPr>
      <w:rFonts w:ascii="Arial" w:hAnsi="Arial"/>
      <w:vanish/>
      <w:sz w:val="16"/>
      <w:szCs w:val="16"/>
    </w:rPr>
    <w:pPr>
      <w:jc w:val="center"/>
      <w:pBdr>
        <w:left w:val="none" w:color="000000" w:sz="0" w:space="0"/>
        <w:top w:val="single" w:color="000000" w:sz="6" w:space="1"/>
        <w:right w:val="none" w:color="000000" w:sz="0" w:space="0"/>
        <w:bottom w:val="none" w:color="000000" w:sz="0" w:space="0"/>
      </w:pBdr>
    </w:pPr>
  </w:style>
  <w:style w:type="paragraph" w:styleId="584">
    <w:name w:val="z-Начало формы"/>
    <w:basedOn w:val="461"/>
    <w:next w:val="461"/>
    <w:link w:val="461"/>
    <w:rPr>
      <w:rFonts w:ascii="Arial" w:hAnsi="Arial"/>
      <w:vanish/>
      <w:sz w:val="16"/>
      <w:szCs w:val="16"/>
    </w:rPr>
    <w:pPr>
      <w:jc w:val="center"/>
      <w:pBdr>
        <w:left w:val="none" w:color="000000" w:sz="0" w:space="0"/>
        <w:top w:val="none" w:color="000000" w:sz="0" w:space="0"/>
        <w:right w:val="none" w:color="000000" w:sz="0" w:space="0"/>
        <w:bottom w:val="single" w:color="000000" w:sz="6" w:space="1"/>
      </w:pBdr>
    </w:pPr>
  </w:style>
  <w:style w:type="paragraph" w:styleId="585">
    <w:name w:val="Нижний колонтитул"/>
    <w:basedOn w:val="461"/>
    <w:next w:val="585"/>
    <w:link w:val="461"/>
    <w:pPr>
      <w:tabs>
        <w:tab w:val="center" w:pos="4677" w:leader="none"/>
        <w:tab w:val="right" w:pos="9355" w:leader="none"/>
      </w:tabs>
    </w:pPr>
  </w:style>
  <w:style w:type="paragraph" w:styleId="586">
    <w:name w:val="Абзац списка"/>
    <w:basedOn w:val="461"/>
    <w:next w:val="586"/>
    <w:pPr>
      <w:contextualSpacing w:val="true"/>
      <w:ind w:left="720" w:right="0" w:firstLine="0"/>
      <w:spacing w:after="0" w:before="0"/>
    </w:pPr>
  </w:style>
  <w:style w:type="paragraph" w:styleId="587">
    <w:name w:val="ConsPlusNormal"/>
    <w:next w:val="587"/>
    <w:link w:val="461"/>
    <w:rPr>
      <w:rFonts w:ascii="Arial" w:hAnsi="Arial" w:eastAsia="Arial"/>
      <w:color w:val="auto"/>
      <w:sz w:val="20"/>
      <w:szCs w:val="20"/>
      <w:lang w:val="ru-RU" w:bidi="ar-SA" w:eastAsia="zh-CN"/>
    </w:rPr>
    <w:pPr>
      <w:ind w:left="0" w:right="0" w:firstLine="720"/>
      <w:widowControl w:val="off"/>
    </w:pPr>
  </w:style>
  <w:style w:type="paragraph" w:styleId="588">
    <w:name w:val="Схема документа1"/>
    <w:basedOn w:val="461"/>
    <w:next w:val="588"/>
    <w:link w:val="461"/>
    <w:rPr>
      <w:rFonts w:ascii="Tahoma" w:hAnsi="Tahoma"/>
      <w:sz w:val="16"/>
      <w:szCs w:val="16"/>
      <w:lang w:val="en-US"/>
    </w:rPr>
  </w:style>
  <w:style w:type="character" w:styleId="813" w:default="1">
    <w:name w:val="Default Paragraph Font"/>
    <w:uiPriority w:val="1"/>
    <w:semiHidden/>
    <w:unhideWhenUsed/>
  </w:style>
  <w:style w:type="numbering" w:styleId="814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2023-04-10T05:18:27Z</dcterms:modified>
</cp:coreProperties>
</file>