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РОССИЙСКАЯ ФЕДЕРАЦИЯ КРАСНОДАРСКИЙ КРАЙ</w:t>
      </w:r>
      <w:r>
        <w:rPr>
          <w:sz w:val="27"/>
          <w:szCs w:val="27"/>
        </w:rPr>
      </w:r>
      <w:r/>
    </w:p>
    <w:p>
      <w:pPr>
        <w:jc w:val="center"/>
        <w:spacing w:after="0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АДМИНИСТРАЦИЯ МУНИЦИПАЛЬНОГО ОБРАЗОВАНИЯ </w:t>
      </w:r>
      <w:r>
        <w:rPr>
          <w:rFonts w:ascii="Times New Roman" w:hAnsi="Times New Roman" w:cs="Times New Roman"/>
          <w:sz w:val="27"/>
          <w:szCs w:val="27"/>
        </w:rPr>
        <w:t xml:space="preserve">МУНИЦИПАЛЬНЫЙ ОКРУГ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ГОРОД ГОРЯЧИЙ КЛЮЧ</w:t>
      </w:r>
      <w:r>
        <w:rPr>
          <w:rFonts w:ascii="Times New Roman" w:hAnsi="Times New Roman" w:cs="Times New Roman"/>
          <w:sz w:val="27"/>
          <w:szCs w:val="27"/>
        </w:rPr>
      </w:r>
      <w:r/>
    </w:p>
    <w:p>
      <w:pPr>
        <w:jc w:val="center"/>
        <w:spacing w:after="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КРАСНОДАРСКОГО КРАЯ </w:t>
      </w:r>
      <w:r>
        <w:rPr>
          <w:rFonts w:ascii="Times New Roman" w:hAnsi="Times New Roman" w:eastAsia="Times New Roman" w:cs="Times New Roman"/>
          <w:sz w:val="27"/>
          <w:szCs w:val="27"/>
        </w:rPr>
      </w:r>
      <w:r/>
    </w:p>
    <w:p>
      <w:pPr>
        <w:jc w:val="center"/>
        <w:spacing w:after="0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АКТ № 2</w:t>
      </w:r>
      <w:r>
        <w:rPr>
          <w:sz w:val="27"/>
          <w:szCs w:val="27"/>
        </w:rPr>
      </w:r>
      <w:r/>
    </w:p>
    <w:p>
      <w:pPr>
        <w:jc w:val="center"/>
        <w:spacing w:after="0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плановой проверки  соблюдения требований законодательства Российской </w:t>
      </w:r>
      <w:r>
        <w:rPr>
          <w:sz w:val="27"/>
          <w:szCs w:val="27"/>
        </w:rPr>
      </w:r>
      <w:r/>
    </w:p>
    <w:p>
      <w:pPr>
        <w:jc w:val="center"/>
        <w:spacing w:after="0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Федерации в сфере закупок для муниципального бюджетного 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дошкольного образовательного учреждения  муниципального образования муниципальный округ город Горячий Ключ Краснодарского края «Детский сад № 2»</w:t>
      </w:r>
      <w:r/>
    </w:p>
    <w:p>
      <w:pPr>
        <w:spacing w:after="0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12.02.2026                                    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                                           город Горячий Ключ</w:t>
      </w:r>
      <w:r>
        <w:rPr>
          <w:sz w:val="27"/>
          <w:szCs w:val="27"/>
        </w:rPr>
      </w:r>
      <w:r/>
    </w:p>
    <w:p>
      <w:pPr>
        <w:spacing w:after="0"/>
        <w:rPr>
          <w:rFonts w:ascii="Times New Roman" w:hAnsi="Times New Roman" w:eastAsia="Times New Roman" w:cs="Times New Roman"/>
          <w:b/>
          <w:sz w:val="27"/>
          <w:szCs w:val="27"/>
        </w:rPr>
      </w:pPr>
      <w:r>
        <w:rPr>
          <w:rFonts w:ascii="Times New Roman" w:hAnsi="Times New Roman" w:eastAsia="Times New Roman" w:cs="Times New Roman"/>
          <w:b/>
          <w:sz w:val="27"/>
          <w:szCs w:val="27"/>
        </w:rPr>
        <w:t xml:space="preserve">Основание для проверки:</w:t>
      </w:r>
      <w:r>
        <w:rPr>
          <w:sz w:val="27"/>
          <w:szCs w:val="27"/>
        </w:rPr>
      </w:r>
      <w:r/>
    </w:p>
    <w:p>
      <w:pPr>
        <w:ind w:firstLine="710"/>
        <w:jc w:val="both"/>
        <w:spacing w:after="0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Распоряжение администрации муниципального образования город Горячий Ключ «О проведении плановой проверки размещения заказов на поставку товаров, работ и услуг для обеспе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чения государственных и муниципальных нужд учреждений муниципального образования город Горячий Ключ»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7"/>
          <w:szCs w:val="27"/>
          <w:shd w:val="clear" w:color="auto" w:fill="auto"/>
        </w:rPr>
        <w:t xml:space="preserve">от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7"/>
          <w:szCs w:val="27"/>
          <w:shd w:val="clear" w:color="auto" w:fill="auto"/>
          <w:lang w:val="ru-RU"/>
        </w:rPr>
        <w:t xml:space="preserve">27.11.2025 г. № 131р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.</w:t>
      </w:r>
      <w:r>
        <w:rPr>
          <w:rFonts w:ascii="Times New Roman" w:hAnsi="Times New Roman" w:eastAsia="Times New Roman" w:cs="Times New Roman"/>
          <w:sz w:val="27"/>
          <w:szCs w:val="27"/>
        </w:rPr>
      </w:r>
      <w:r/>
    </w:p>
    <w:p>
      <w:pPr>
        <w:jc w:val="both"/>
        <w:spacing w:after="0"/>
        <w:rPr>
          <w:rFonts w:ascii="Times New Roman" w:hAnsi="Times New Roman" w:eastAsia="Times New Roman" w:cs="Times New Roman"/>
          <w:b/>
          <w:sz w:val="27"/>
          <w:szCs w:val="27"/>
        </w:rPr>
      </w:pPr>
      <w:r>
        <w:rPr>
          <w:rFonts w:ascii="Times New Roman" w:hAnsi="Times New Roman" w:eastAsia="Times New Roman" w:cs="Times New Roman"/>
          <w:b/>
          <w:sz w:val="27"/>
          <w:szCs w:val="27"/>
        </w:rPr>
        <w:t xml:space="preserve">Цель проверки:</w:t>
      </w:r>
      <w:r>
        <w:rPr>
          <w:sz w:val="27"/>
          <w:szCs w:val="27"/>
        </w:rPr>
      </w:r>
      <w:r/>
    </w:p>
    <w:p>
      <w:pPr>
        <w:ind w:firstLine="710"/>
        <w:jc w:val="both"/>
        <w:spacing w:after="0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Предупреждение и выявление нарушений законодательства Российской Федерации в сфере закупок.</w:t>
      </w:r>
      <w:r>
        <w:rPr>
          <w:sz w:val="27"/>
          <w:szCs w:val="27"/>
        </w:rPr>
      </w:r>
      <w:r/>
    </w:p>
    <w:p>
      <w:pPr>
        <w:jc w:val="both"/>
        <w:spacing w:after="0"/>
        <w:rPr>
          <w:rFonts w:ascii="Times New Roman" w:hAnsi="Times New Roman" w:eastAsia="Times New Roman" w:cs="Times New Roman"/>
          <w:b/>
          <w:sz w:val="27"/>
          <w:szCs w:val="27"/>
        </w:rPr>
      </w:pPr>
      <w:r>
        <w:rPr>
          <w:rFonts w:ascii="Times New Roman" w:hAnsi="Times New Roman" w:eastAsia="Times New Roman" w:cs="Times New Roman"/>
          <w:b/>
          <w:sz w:val="27"/>
          <w:szCs w:val="27"/>
        </w:rPr>
        <w:t xml:space="preserve">Наименование контрольног</w:t>
      </w:r>
      <w:r>
        <w:rPr>
          <w:rFonts w:ascii="Times New Roman" w:hAnsi="Times New Roman" w:eastAsia="Times New Roman" w:cs="Times New Roman"/>
          <w:b/>
          <w:sz w:val="27"/>
          <w:szCs w:val="27"/>
        </w:rPr>
        <w:t xml:space="preserve">о органа:</w:t>
      </w:r>
      <w:r>
        <w:rPr>
          <w:sz w:val="27"/>
          <w:szCs w:val="27"/>
        </w:rPr>
      </w:r>
      <w:r/>
    </w:p>
    <w:p>
      <w:pPr>
        <w:ind w:firstLine="710"/>
        <w:jc w:val="both"/>
        <w:spacing w:after="0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Отдел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 экономики администрации муниципального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образования муниципальный округ город Горячий Ключ Краснодарского края, уполномоченный орган на осуществление контроля в сфере закупок для нужд  муниципального образования муниципальный округ город Горячий Ключ Краснодарского края в лице начальника отдела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Душиной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 Н.В.</w:t>
      </w:r>
      <w:r>
        <w:rPr>
          <w:sz w:val="27"/>
          <w:szCs w:val="27"/>
        </w:rPr>
      </w:r>
      <w:r/>
    </w:p>
    <w:p>
      <w:pPr>
        <w:jc w:val="both"/>
        <w:spacing w:after="0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Times New Roman" w:hAnsi="Times New Roman" w:eastAsia="Times New Roman" w:cs="Times New Roman"/>
          <w:b/>
          <w:sz w:val="27"/>
          <w:szCs w:val="27"/>
        </w:rPr>
        <w:t xml:space="preserve">Сроки проведения проверки: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 с09.02.2026г. по 12.02.2026г.</w:t>
      </w:r>
      <w:r>
        <w:rPr>
          <w:sz w:val="27"/>
          <w:szCs w:val="27"/>
        </w:rPr>
      </w:r>
      <w:r/>
    </w:p>
    <w:p>
      <w:pPr>
        <w:jc w:val="both"/>
        <w:spacing w:after="0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Times New Roman" w:hAnsi="Times New Roman" w:eastAsia="Times New Roman" w:cs="Times New Roman"/>
          <w:b/>
          <w:sz w:val="27"/>
          <w:szCs w:val="27"/>
        </w:rPr>
        <w:t xml:space="preserve">Период проведения проверки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 с 01.02.2025г. по 31.01.2026г.</w:t>
      </w:r>
      <w:r>
        <w:rPr>
          <w:sz w:val="27"/>
          <w:szCs w:val="27"/>
        </w:rPr>
      </w:r>
      <w:r/>
    </w:p>
    <w:p>
      <w:pPr>
        <w:ind w:firstLine="710"/>
        <w:jc w:val="both"/>
        <w:spacing w:after="0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Плановая проверка осуществляется путем рассмотрения и ана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лиза истребованных документов.</w:t>
      </w:r>
      <w:r>
        <w:rPr>
          <w:sz w:val="27"/>
          <w:szCs w:val="27"/>
        </w:rPr>
      </w:r>
      <w:r/>
    </w:p>
    <w:p>
      <w:pPr>
        <w:ind w:left="0" w:right="0" w:firstLine="850"/>
        <w:jc w:val="both"/>
        <w:spacing w:after="0"/>
        <w:widowControl w:val="off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До начало осущест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вления плановой проверки (далее Проверка) заведующей </w:t>
      </w:r>
      <w:r>
        <w:rPr>
          <w:rFonts w:ascii="Times New Roman" w:hAnsi="Times New Roman" w:eastAsia="Times New Roman" w:cs="Times New Roman"/>
          <w:sz w:val="27"/>
          <w:szCs w:val="27"/>
        </w:rPr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муниципального бюджетного 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дошкольного образовательного учреждения  муниципального образования муниципальный округ город Горячий Ключ Краснодарского края «Детский сад № 2»</w:t>
      </w:r>
      <w:r/>
      <w:r>
        <w:rPr>
          <w:rFonts w:ascii="Times New Roman" w:hAnsi="Times New Roman" w:eastAsia="Times New Roman" w:cs="Times New Roman"/>
          <w:sz w:val="27"/>
          <w:szCs w:val="27"/>
        </w:rPr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(далее ДС № 2) было вручено уведомление о проверке.</w:t>
      </w:r>
      <w:r>
        <w:rPr>
          <w:rFonts w:ascii="Times New Roman" w:hAnsi="Times New Roman" w:eastAsia="Times New Roman" w:cs="Times New Roman"/>
          <w:sz w:val="27"/>
          <w:szCs w:val="27"/>
        </w:rPr>
      </w:r>
      <w:r/>
    </w:p>
    <w:p>
      <w:pPr>
        <w:ind w:left="0" w:right="0" w:firstLine="850"/>
        <w:jc w:val="both"/>
        <w:spacing w:after="0"/>
        <w:widowControl w:val="off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В соответствии с приказом управления образования администрации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муниципального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 образования город Горячий Ключ № 489-л л/с от 15.11.2022 г. обязанности заведующей ДС№ 2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 возложены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 на Сысоеву Римму Сергеевну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.</w:t>
      </w:r>
      <w:r/>
    </w:p>
    <w:p>
      <w:pPr>
        <w:ind w:firstLine="710"/>
        <w:jc w:val="both"/>
        <w:spacing w:after="0"/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Положения статьи 38 Закона о контрактной системе предусматривают, что заказчик, совокупный годовой объем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закупок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 которого в соответствии с планом-графиком не превышает сто миллионов рублей и у которого отсутствует контрактная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 служба, назначает лицо, ответственное за осуществление закупки или нескольких закупок, включая исполнение каждого контракта.</w:t>
      </w:r>
      <w:r>
        <w:rPr>
          <w:rFonts w:ascii="Times New Roman" w:hAnsi="Times New Roman" w:eastAsia="Times New Roman" w:cs="Times New Roman"/>
          <w:sz w:val="27"/>
          <w:szCs w:val="27"/>
        </w:rPr>
      </w:r>
      <w:r/>
    </w:p>
    <w:p>
      <w:pPr>
        <w:ind w:firstLine="710"/>
        <w:jc w:val="both"/>
        <w:spacing w:after="0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В соответствии с приказом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ДС№ 2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 от 02.03.2023 № 15  контрактным управляющим, ответственным за осуществление закупки и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ли нескольких закупок,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включая исполнение каждого контракта назначена  Пономарева Мария Валериевна.</w:t>
      </w:r>
      <w:r/>
    </w:p>
    <w:p>
      <w:pPr>
        <w:ind w:left="0" w:right="0" w:firstLine="709"/>
        <w:jc w:val="both"/>
        <w:spacing w:after="0"/>
        <w:rPr>
          <w:rFonts w:ascii="Times New Roman" w:hAnsi="Times New Roman" w:eastAsia="Times New Roman" w:cs="Times New Roman"/>
          <w:sz w:val="27"/>
          <w:szCs w:val="27"/>
          <w:highlight w:val="white"/>
        </w:rPr>
      </w:pPr>
      <w:r>
        <w:rPr>
          <w:rFonts w:ascii="Times New Roman" w:hAnsi="Times New Roman" w:eastAsia="Times New Roman" w:cs="Times New Roman"/>
          <w:sz w:val="27"/>
          <w:szCs w:val="27"/>
          <w:highlight w:val="white"/>
        </w:rPr>
        <w:t xml:space="preserve">На момент проверки в стадии размещения заказов нет.</w:t>
      </w:r>
      <w:r>
        <w:rPr>
          <w:sz w:val="27"/>
          <w:szCs w:val="27"/>
        </w:rPr>
      </w:r>
      <w:r/>
    </w:p>
    <w:p>
      <w:pPr>
        <w:ind w:firstLine="710"/>
        <w:jc w:val="both"/>
        <w:spacing w:after="0"/>
        <w:rPr>
          <w:sz w:val="27"/>
          <w:szCs w:val="27"/>
          <w:highlight w:val="none"/>
        </w:rPr>
      </w:pPr>
      <w:r>
        <w:rPr>
          <w:rFonts w:ascii="Times New Roman" w:hAnsi="Times New Roman" w:eastAsia="Times New Roman" w:cs="Times New Roman"/>
          <w:b/>
          <w:sz w:val="27"/>
          <w:szCs w:val="27"/>
        </w:rPr>
        <w:t xml:space="preserve">В результате проведения второго этапа плановой проверки установлено:</w:t>
      </w:r>
      <w:r>
        <w:rPr>
          <w:sz w:val="27"/>
          <w:szCs w:val="27"/>
        </w:rPr>
      </w:r>
      <w:r/>
    </w:p>
    <w:p>
      <w:pPr>
        <w:ind w:firstLine="710"/>
        <w:jc w:val="both"/>
        <w:spacing w:after="0"/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1)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план финансово-хозяйственной деятельности (далее ПФХД) на 2026 год утвержден начальником управления образования администрации муниципального  образования муниципальный округ город Горячий Ключ Краснодарского края 24.12.2025</w:t>
      </w:r>
      <w:r>
        <w:rPr>
          <w:rFonts w:ascii="Times New Roman" w:hAnsi="Times New Roman" w:eastAsia="Times New Roman" w:cs="Times New Roman"/>
          <w:sz w:val="27"/>
          <w:szCs w:val="27"/>
          <w:highlight w:val="white"/>
        </w:rPr>
        <w:t xml:space="preserve"> года.</w:t>
      </w:r>
      <w:r>
        <w:rPr>
          <w:rFonts w:ascii="Times New Roman" w:hAnsi="Times New Roman" w:eastAsia="Times New Roman" w:cs="Times New Roman"/>
          <w:sz w:val="27"/>
          <w:szCs w:val="27"/>
          <w:highlight w:val="white"/>
        </w:rPr>
      </w:r>
      <w:r/>
    </w:p>
    <w:p>
      <w:pPr>
        <w:ind w:firstLine="710"/>
        <w:jc w:val="both"/>
        <w:spacing w:after="0"/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Порядок формирования, утверждения и ведения планов графиков закупок для обеспеч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ения нужд муниципального образования устанавливается постановлением администрации муниципального образования город Горячий Ключ от 18 февраля 2016 года № 406 (далее постановление № 406).</w:t>
      </w:r>
      <w:r>
        <w:rPr>
          <w:rFonts w:ascii="Times New Roman" w:hAnsi="Times New Roman" w:eastAsia="Times New Roman" w:cs="Times New Roman"/>
          <w:sz w:val="27"/>
          <w:szCs w:val="27"/>
        </w:rPr>
      </w:r>
      <w:r/>
    </w:p>
    <w:p>
      <w:pPr>
        <w:ind w:firstLine="710"/>
        <w:jc w:val="both"/>
        <w:spacing w:after="0"/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В соответствии с подпунктом «б» пункта 3 указанного выше Постановлени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я № 406 планы-графики закупок утверждаются бюджетными учреждениями, муниципальным образованием, за исключением закупок, осуществляемых в соответствии с частью 6 статьи 16 Федерального закона – в течение 10 рабочих дней со дня утверждения ПФХД.</w:t>
      </w:r>
      <w:r>
        <w:rPr>
          <w:rFonts w:ascii="Times New Roman" w:hAnsi="Times New Roman" w:eastAsia="Times New Roman" w:cs="Times New Roman"/>
          <w:sz w:val="27"/>
          <w:szCs w:val="27"/>
        </w:rPr>
      </w:r>
      <w:r/>
    </w:p>
    <w:p>
      <w:pPr>
        <w:ind w:firstLine="710"/>
        <w:jc w:val="both"/>
        <w:spacing w:after="0"/>
        <w:rPr>
          <w:rFonts w:ascii="Times New Roman" w:hAnsi="Times New Roman" w:eastAsia="Times New Roman" w:cs="Times New Roman"/>
          <w:highlight w:val="white"/>
        </w:rPr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Т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аким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образом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 план-график закупок товаров, работ, услуг для обеспечения муниципальных нужд ДС№ 2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 на 2026 год должен быть утвержден не ранее </w:t>
      </w:r>
      <w:r>
        <w:rPr>
          <w:rFonts w:ascii="Times New Roman" w:hAnsi="Times New Roman" w:eastAsia="Times New Roman" w:cs="Times New Roman"/>
          <w:sz w:val="27"/>
          <w:szCs w:val="27"/>
          <w:highlight w:val="none"/>
        </w:rPr>
        <w:t xml:space="preserve">24.12.2025 </w:t>
      </w:r>
      <w:r>
        <w:rPr>
          <w:rFonts w:ascii="Times New Roman" w:hAnsi="Times New Roman" w:eastAsia="Times New Roman" w:cs="Times New Roman"/>
          <w:sz w:val="27"/>
          <w:szCs w:val="27"/>
          <w:highlight w:val="white"/>
        </w:rPr>
        <w:t xml:space="preserve">года и не позднее 16.01.2026</w:t>
      </w:r>
      <w:r>
        <w:rPr>
          <w:rFonts w:ascii="Times New Roman" w:hAnsi="Times New Roman" w:eastAsia="Times New Roman" w:cs="Times New Roman"/>
          <w:sz w:val="27"/>
          <w:szCs w:val="27"/>
          <w:highlight w:val="white"/>
        </w:rPr>
        <w:t xml:space="preserve"> г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ода.</w:t>
      </w:r>
      <w:r>
        <w:rPr>
          <w:rFonts w:ascii="Times New Roman" w:hAnsi="Times New Roman" w:eastAsia="Times New Roman" w:cs="Times New Roman"/>
          <w:sz w:val="27"/>
          <w:szCs w:val="27"/>
        </w:rPr>
      </w:r>
      <w:r/>
    </w:p>
    <w:p>
      <w:pPr>
        <w:ind w:firstLine="710"/>
        <w:jc w:val="both"/>
        <w:spacing w:after="0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sz w:val="27"/>
          <w:szCs w:val="27"/>
        </w:rPr>
      </w:r>
      <w:r>
        <w:rPr>
          <w:rFonts w:ascii="Times New Roman" w:hAnsi="Times New Roman" w:eastAsia="Times New Roman" w:cs="Times New Roman"/>
          <w:sz w:val="27"/>
          <w:szCs w:val="27"/>
        </w:rPr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ДС№ 2</w:t>
      </w:r>
      <w:r/>
      <w:r>
        <w:rPr>
          <w:rFonts w:ascii="Times New Roman" w:hAnsi="Times New Roman" w:eastAsia="Times New Roman" w:cs="Times New Roman"/>
          <w:sz w:val="27"/>
          <w:szCs w:val="27"/>
        </w:rPr>
        <w:t xml:space="preserve">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сформирован план-график закупок товаров, работ,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 услуг для обеспечения муниципальных нужд на 2026 финансовый год. </w:t>
      </w:r>
      <w:r>
        <w:rPr>
          <w:rFonts w:ascii="Times New Roman" w:hAnsi="Times New Roman" w:eastAsia="Times New Roman" w:cs="Times New Roman"/>
          <w:sz w:val="27"/>
          <w:szCs w:val="27"/>
          <w:highlight w:val="white"/>
        </w:rPr>
        <w:t xml:space="preserve">Указанный план-график утвержден заказчиком 12.01.2026 года  </w:t>
      </w:r>
      <w:r>
        <w:rPr>
          <w:rFonts w:ascii="Times New Roman" w:hAnsi="Times New Roman" w:eastAsia="Times New Roman" w:cs="Times New Roman"/>
          <w:sz w:val="27"/>
          <w:szCs w:val="27"/>
          <w:highlight w:val="none"/>
        </w:rPr>
        <w:t xml:space="preserve">в установленный законом срок.</w:t>
      </w:r>
      <w:r>
        <w:rPr>
          <w:rFonts w:ascii="Times New Roman" w:hAnsi="Times New Roman" w:cs="Times New Roman"/>
          <w:sz w:val="27"/>
          <w:szCs w:val="27"/>
          <w:highlight w:val="none"/>
        </w:rPr>
      </w:r>
      <w:r/>
    </w:p>
    <w:p>
      <w:pPr>
        <w:ind w:firstLine="710"/>
        <w:jc w:val="both"/>
        <w:spacing w:after="0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Частью 4 статьи 30 закона о контрактной системе определено,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что по итогам года заказчик обязан составить о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тчет об объеме закупок у субъектов малого предпринимательства, социально-ориентированных некоммерческих организаций, предусмотренных частью 2 настоящей статьи, до 1 апреля года, следующего за отчетным годом,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разместить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 такой отчет в единой информационной с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истеме. В отчет заказчик включает информацию о заключенных контрактах с субъектами малого предпринимательства, социально-ориентированными некоммерческими организациями, а также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информацию о несостоявшемся определении поставщиков с участием субъектов малого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 предпринимательства, социально-ориентированных некоммерческих организаций.</w:t>
      </w:r>
      <w:r>
        <w:rPr>
          <w:sz w:val="27"/>
          <w:szCs w:val="27"/>
        </w:rPr>
      </w:r>
      <w:r/>
    </w:p>
    <w:p>
      <w:pPr>
        <w:ind w:firstLine="710"/>
        <w:jc w:val="both"/>
        <w:spacing w:after="0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Отчет об объеме закупок у субъектов малого предпринимательства за 2024 год размещен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ДС№ 2</w:t>
      </w:r>
      <w:r/>
      <w:r>
        <w:rPr>
          <w:rFonts w:ascii="Times New Roman" w:hAnsi="Times New Roman" w:eastAsia="Times New Roman" w:cs="Times New Roman"/>
          <w:sz w:val="27"/>
          <w:szCs w:val="27"/>
        </w:rPr>
        <w:t xml:space="preserve"> –26.03.2025 года в установленный законом срок.</w:t>
      </w:r>
      <w:r>
        <w:rPr>
          <w:sz w:val="27"/>
          <w:szCs w:val="27"/>
        </w:rPr>
      </w:r>
      <w:r/>
    </w:p>
    <w:p>
      <w:pPr>
        <w:ind w:firstLine="710"/>
        <w:jc w:val="both"/>
        <w:spacing w:after="0"/>
        <w:rPr>
          <w:rFonts w:ascii="Times New Roman" w:hAnsi="Times New Roman" w:eastAsia="Times New Roman" w:cs="Times New Roman"/>
          <w:sz w:val="27"/>
          <w:szCs w:val="27"/>
        </w:rPr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В соответствии с положением статьи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73 Бюджетного Кодекса Российской Федерации получатели бюджетных средств обязаны вести реестры закупок, осуществляемых без заключения государственных или муниципальных контрактов.</w:t>
      </w:r>
      <w:r>
        <w:rPr>
          <w:sz w:val="27"/>
          <w:szCs w:val="27"/>
        </w:rPr>
      </w:r>
      <w:r/>
    </w:p>
    <w:p>
      <w:pPr>
        <w:ind w:firstLine="710"/>
        <w:jc w:val="both"/>
        <w:spacing w:after="0"/>
        <w:rPr>
          <w:sz w:val="27"/>
          <w:szCs w:val="27"/>
          <w:highlight w:val="none"/>
        </w:rPr>
      </w:pPr>
      <w:r>
        <w:rPr>
          <w:rFonts w:ascii="Times New Roman" w:hAnsi="Times New Roman" w:eastAsia="Times New Roman" w:cs="Times New Roman"/>
          <w:sz w:val="27"/>
          <w:szCs w:val="27"/>
          <w:highlight w:val="yellow"/>
        </w:rPr>
      </w:r>
      <w:r>
        <w:rPr>
          <w:rFonts w:ascii="Times New Roman" w:hAnsi="Times New Roman" w:eastAsia="Times New Roman" w:cs="Times New Roman"/>
          <w:sz w:val="27"/>
          <w:szCs w:val="27"/>
        </w:rPr>
      </w:r>
      <w:r>
        <w:rPr>
          <w:rFonts w:ascii="Times New Roman" w:hAnsi="Times New Roman" w:eastAsia="Times New Roman" w:cs="Times New Roman"/>
          <w:sz w:val="27"/>
          <w:szCs w:val="27"/>
        </w:rPr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ДС№ 2</w:t>
      </w:r>
      <w:r/>
      <w:r>
        <w:rPr>
          <w:rFonts w:ascii="Times New Roman" w:hAnsi="Times New Roman" w:eastAsia="Times New Roman" w:cs="Times New Roman"/>
          <w:sz w:val="27"/>
          <w:szCs w:val="27"/>
        </w:rPr>
      </w:r>
      <w:r>
        <w:rPr>
          <w:rFonts w:ascii="Times New Roman" w:hAnsi="Times New Roman" w:eastAsia="Times New Roman" w:cs="Times New Roman"/>
          <w:sz w:val="27"/>
          <w:szCs w:val="27"/>
          <w:highlight w:val="white"/>
        </w:rPr>
        <w:t xml:space="preserve"> ведется реестр закупок, осуществляемых без заклю</w:t>
      </w:r>
      <w:r>
        <w:rPr>
          <w:rFonts w:ascii="Times New Roman" w:hAnsi="Times New Roman" w:eastAsia="Times New Roman" w:cs="Times New Roman"/>
          <w:sz w:val="27"/>
          <w:szCs w:val="27"/>
          <w:highlight w:val="white"/>
        </w:rPr>
        <w:t xml:space="preserve">чения государств</w:t>
      </w:r>
      <w:r>
        <w:rPr>
          <w:rFonts w:ascii="Times New Roman" w:hAnsi="Times New Roman" w:eastAsia="Times New Roman" w:cs="Times New Roman"/>
          <w:sz w:val="27"/>
          <w:szCs w:val="27"/>
          <w:highlight w:val="white"/>
        </w:rPr>
        <w:t xml:space="preserve">енных или муниципальных контрактов. </w:t>
      </w:r>
      <w:r>
        <w:rPr>
          <w:sz w:val="27"/>
          <w:szCs w:val="27"/>
        </w:rPr>
      </w:r>
      <w:r/>
    </w:p>
    <w:p>
      <w:pPr>
        <w:ind w:left="0" w:right="-141" w:firstLine="710"/>
        <w:jc w:val="both"/>
        <w:spacing w:before="0" w:after="0" w:line="276" w:lineRule="auto"/>
        <w:tabs>
          <w:tab w:val="left" w:pos="9496" w:leader="none"/>
        </w:tabs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7"/>
          <w:szCs w:val="27"/>
          <w:shd w:val="clear" w:color="auto" w:fill="auto"/>
        </w:rPr>
        <w:t xml:space="preserve">В результате выборочной проверки контрактов заключенных с единственным поставщиком выявлено следующее нарушение:</w:t>
      </w:r>
      <w:r/>
      <w:r/>
    </w:p>
    <w:p>
      <w:pPr>
        <w:ind w:left="0" w:right="-141" w:firstLine="710"/>
        <w:jc w:val="both"/>
        <w:spacing w:before="0" w:after="0" w:line="276" w:lineRule="auto"/>
        <w:tabs>
          <w:tab w:val="left" w:pos="9496" w:leader="none"/>
        </w:tabs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7"/>
          <w:szCs w:val="27"/>
          <w:shd w:val="clear" w:color="auto" w:fill="auto"/>
        </w:rPr>
        <w:t xml:space="preserve">В контракт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7"/>
          <w:szCs w:val="27"/>
          <w:shd w:val="clear" w:color="auto" w:fill="auto"/>
        </w:rPr>
        <w:t xml:space="preserve">ах № 9-2/2025-ТО от 01.08.2025 года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7"/>
          <w:szCs w:val="27"/>
          <w:shd w:val="clear" w:color="auto" w:fill="auto"/>
          <w:lang w:val="ru-RU"/>
        </w:rPr>
        <w:t xml:space="preserve"> и № 18 от 04.03.2025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7"/>
          <w:szCs w:val="27"/>
          <w:shd w:val="clear" w:color="auto" w:fill="auto"/>
        </w:rPr>
        <w:t xml:space="preserve"> в нарушение части 2 статьи 34 Закона № 44-ФЗ отсутствует условие, что цена контракта является твердой и определяется на весь срок исполнения контракта.</w:t>
      </w:r>
      <w:r/>
      <w:r/>
    </w:p>
    <w:p>
      <w:pPr>
        <w:ind w:left="0" w:right="-141" w:firstLine="710"/>
        <w:jc w:val="both"/>
        <w:spacing w:before="0" w:after="0" w:line="276" w:lineRule="auto"/>
        <w:tabs>
          <w:tab w:val="left" w:pos="9496" w:leader="none"/>
        </w:tabs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7"/>
          <w:szCs w:val="27"/>
          <w:shd w:val="clear" w:color="auto" w:fill="auto"/>
        </w:rPr>
        <w:t xml:space="preserve">Не исполнение обязательных требований статьи 34 Закона 44-ФЗ является нарушением требований законодательства Российской Федерации в сфере закупок.</w:t>
      </w:r>
      <w:r/>
      <w:r/>
    </w:p>
    <w:p>
      <w:pPr>
        <w:ind w:left="0" w:right="-141" w:firstLine="710"/>
        <w:jc w:val="both"/>
        <w:spacing w:before="0" w:after="0" w:line="276" w:lineRule="auto"/>
        <w:tabs>
          <w:tab w:val="left" w:pos="9496" w:leader="none"/>
        </w:tabs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7"/>
          <w:szCs w:val="27"/>
          <w:shd w:val="clear" w:color="auto" w:fill="auto"/>
        </w:rPr>
        <w:t xml:space="preserve">Согласно части 1 статьи 2.1 КоАП составы административных правонарушений, за которые может наступить административная ответственность, предусмотрены настоящим Кодексом или законами субъектов Российской Федерации об административных правонарушениях.</w:t>
      </w:r>
      <w:r/>
      <w:r/>
    </w:p>
    <w:p>
      <w:pPr>
        <w:ind w:left="0" w:right="-141" w:firstLine="710"/>
        <w:jc w:val="both"/>
        <w:spacing w:before="0" w:after="0" w:line="276" w:lineRule="auto"/>
        <w:tabs>
          <w:tab w:val="left" w:pos="9496" w:leader="none"/>
        </w:tabs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7"/>
          <w:szCs w:val="27"/>
          <w:shd w:val="clear" w:color="auto" w:fill="auto"/>
        </w:rPr>
        <w:t xml:space="preserve">В настоящее время КоАП не содержит состава административного правонарушения, охватывающего действия заказчика по заключению контракта с единственным поставщиком с нарушением требований части 2 статьи 34 Закона № 44-ФЗ.</w:t>
      </w:r>
      <w:r>
        <w:rPr>
          <w:rFonts w:ascii="Times New Roman" w:hAnsi="Times New Roman" w:eastAsia="Times New Roman" w:cs="Times New Roman"/>
          <w:color w:val="auto"/>
        </w:rPr>
      </w:r>
      <w:r/>
    </w:p>
    <w:p>
      <w:pPr>
        <w:ind w:firstLine="710"/>
        <w:jc w:val="both"/>
        <w:spacing w:after="0"/>
      </w:pPr>
      <w:r>
        <w:rPr>
          <w:sz w:val="27"/>
          <w:szCs w:val="27"/>
          <w:highlight w:val="none"/>
        </w:rPr>
      </w:r>
      <w:r>
        <w:rPr>
          <w:sz w:val="27"/>
          <w:szCs w:val="27"/>
          <w:highlight w:val="none"/>
        </w:rPr>
      </w:r>
      <w:r/>
    </w:p>
    <w:p>
      <w:pPr>
        <w:contextualSpacing w:val="0"/>
        <w:jc w:val="both"/>
        <w:spacing w:before="0" w:after="0"/>
        <w:suppressLineNumbers w:val="0"/>
      </w:pPr>
      <w:r>
        <w:rPr>
          <w:rFonts w:ascii="Times New Roman" w:hAnsi="Times New Roman" w:eastAsia="Times New Roman" w:cs="Times New Roman"/>
          <w:b/>
          <w:sz w:val="27"/>
          <w:szCs w:val="27"/>
        </w:rPr>
        <w:t xml:space="preserve">Выводы:</w:t>
      </w:r>
      <w:r>
        <w:rPr>
          <w:sz w:val="27"/>
          <w:szCs w:val="27"/>
        </w:rPr>
      </w:r>
      <w:r/>
    </w:p>
    <w:p>
      <w:pPr>
        <w:ind w:left="0" w:right="1" w:firstLine="710"/>
        <w:jc w:val="both"/>
        <w:spacing w:before="0" w:after="0" w:line="276" w:lineRule="auto"/>
        <w:rPr>
          <w:rFonts w:ascii="Times New Roman" w:hAnsi="Times New Roman" w:eastAsia="Times New Roman" w:cs="Times New Roman"/>
          <w:color w:val="auto"/>
          <w:sz w:val="27"/>
          <w:szCs w:val="27"/>
          <w:highlight w:val="none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7"/>
          <w:szCs w:val="27"/>
          <w:shd w:val="clear" w:color="auto" w:fill="auto"/>
        </w:rPr>
        <w:t xml:space="preserve">По результатам проверки в действиях заказчика выявлен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7"/>
          <w:szCs w:val="27"/>
          <w:shd w:val="clear" w:color="auto" w:fill="auto"/>
          <w:lang w:val="ru-RU"/>
        </w:rPr>
        <w:t xml:space="preserve">ы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7"/>
          <w:szCs w:val="27"/>
          <w:shd w:val="clear" w:color="auto" w:fill="auto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7"/>
          <w:szCs w:val="27"/>
          <w:shd w:val="clear" w:color="auto" w:fill="auto"/>
        </w:rPr>
        <w:t xml:space="preserve">2 нарушени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7"/>
          <w:szCs w:val="27"/>
          <w:shd w:val="clear" w:color="auto" w:fill="auto"/>
        </w:rPr>
        <w:t xml:space="preserve">я п. 2 ст. 34 закона № 44-ФЗ.</w:t>
      </w:r>
      <w:r>
        <w:rPr>
          <w:sz w:val="27"/>
          <w:szCs w:val="27"/>
          <w:lang w:val="ru-RU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7"/>
          <w:szCs w:val="27"/>
          <w:shd w:val="clear" w:color="auto" w:fill="auto"/>
        </w:rPr>
        <w:t xml:space="preserve">Учитывая, что вышеуказанн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7"/>
          <w:szCs w:val="27"/>
          <w:shd w:val="clear" w:color="auto" w:fill="auto"/>
        </w:rPr>
        <w:t xml:space="preserve">ые нарушени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7"/>
          <w:szCs w:val="27"/>
          <w:shd w:val="clear" w:color="auto" w:fill="auto"/>
        </w:rPr>
        <w:t xml:space="preserve">я не содержат признаки состава административных правонарушений, предусмотренных КоАП материалы проверки не направляются в правоохранительные органы.</w:t>
      </w:r>
      <w:r/>
      <w:r/>
    </w:p>
    <w:p>
      <w:pPr>
        <w:contextualSpacing w:val="0"/>
        <w:ind w:firstLine="710"/>
        <w:jc w:val="both"/>
        <w:spacing w:before="0" w:after="0"/>
        <w:rPr>
          <w:rFonts w:ascii="Times New Roman" w:hAnsi="Times New Roman" w:eastAsia="Times New Roman" w:cs="Times New Roman"/>
          <w:b/>
          <w:bCs/>
          <w:color w:val="auto"/>
          <w:sz w:val="27"/>
          <w:szCs w:val="27"/>
        </w:rPr>
        <w:suppressLineNumbers w:val="0"/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Направить копию акта проверки для о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знакомления Сысоевой Р.С.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–  заведующей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муниципального бюджетного 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дошкольного образовательного учреждения  муниципального образования муниципальный округ город Горячий Ключ Краснодарского края «Детский сад № 2»</w:t>
      </w:r>
      <w:r/>
      <w:r>
        <w:rPr>
          <w:rFonts w:ascii="Times New Roman" w:hAnsi="Times New Roman" w:eastAsia="Times New Roman" w:cs="Times New Roman"/>
          <w:sz w:val="27"/>
          <w:szCs w:val="27"/>
        </w:rPr>
        <w:t xml:space="preserve">.</w:t>
      </w:r>
      <w:r/>
    </w:p>
    <w:p>
      <w:pPr>
        <w:ind w:left="0" w:right="-141" w:firstLine="710"/>
        <w:jc w:val="both"/>
        <w:spacing w:before="0" w:after="0" w:line="276" w:lineRule="auto"/>
        <w:tabs>
          <w:tab w:val="left" w:pos="9496" w:leader="none"/>
        </w:tabs>
        <w:rPr>
          <w:sz w:val="27"/>
          <w:szCs w:val="27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7"/>
          <w:szCs w:val="27"/>
          <w:highlight w:val="none"/>
          <w:shd w:val="clear" w:color="auto" w:fill="auto"/>
        </w:rPr>
      </w:r>
      <w:r>
        <w:rPr>
          <w:sz w:val="27"/>
          <w:szCs w:val="27"/>
        </w:rPr>
      </w:r>
      <w:r/>
    </w:p>
    <w:p>
      <w:pPr>
        <w:contextualSpacing w:val="0"/>
        <w:jc w:val="both"/>
        <w:spacing w:before="0" w:after="0"/>
        <w:rPr>
          <w:rFonts w:ascii="Times New Roman" w:hAnsi="Times New Roman" w:eastAsia="Times New Roman" w:cs="Times New Roman"/>
          <w:sz w:val="27"/>
          <w:szCs w:val="27"/>
        </w:rPr>
        <w:suppressLineNumbers w:val="0"/>
      </w:pPr>
      <w:r>
        <w:rPr>
          <w:rFonts w:ascii="Times New Roman" w:hAnsi="Times New Roman" w:eastAsia="Times New Roman" w:cs="Times New Roman"/>
          <w:sz w:val="27"/>
          <w:szCs w:val="27"/>
        </w:rPr>
      </w:r>
      <w:r>
        <w:rPr>
          <w:sz w:val="27"/>
          <w:szCs w:val="27"/>
        </w:rPr>
      </w:r>
      <w:r/>
    </w:p>
    <w:p>
      <w:pPr>
        <w:contextualSpacing w:val="0"/>
        <w:jc w:val="both"/>
        <w:spacing w:before="0" w:after="0"/>
        <w:rPr>
          <w:rFonts w:ascii="Times New Roman" w:hAnsi="Times New Roman" w:eastAsia="Times New Roman" w:cs="Times New Roman"/>
          <w:sz w:val="27"/>
          <w:szCs w:val="27"/>
        </w:rPr>
        <w:suppressLineNumbers w:val="0"/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Начальник отдела </w:t>
      </w:r>
      <w:r>
        <w:rPr>
          <w:sz w:val="27"/>
          <w:szCs w:val="27"/>
        </w:rPr>
      </w:r>
      <w:r/>
    </w:p>
    <w:p>
      <w:pPr>
        <w:contextualSpacing w:val="0"/>
        <w:jc w:val="both"/>
        <w:spacing w:before="0" w:after="0"/>
        <w:rPr>
          <w:rFonts w:ascii="Times New Roman" w:hAnsi="Times New Roman" w:eastAsia="Times New Roman" w:cs="Times New Roman"/>
          <w:sz w:val="27"/>
          <w:szCs w:val="27"/>
        </w:rPr>
        <w:suppressLineNumbers w:val="0"/>
      </w:pPr>
      <w:r>
        <w:rPr>
          <w:rFonts w:ascii="Times New Roman" w:hAnsi="Times New Roman" w:eastAsia="Times New Roman" w:cs="Times New Roman"/>
          <w:sz w:val="27"/>
          <w:szCs w:val="27"/>
        </w:rPr>
        <w:t xml:space="preserve">экономики                                                                                             Н.В. </w:t>
      </w:r>
      <w:r>
        <w:rPr>
          <w:rFonts w:ascii="Times New Roman" w:hAnsi="Times New Roman" w:eastAsia="Times New Roman" w:cs="Times New Roman"/>
          <w:sz w:val="27"/>
          <w:szCs w:val="27"/>
        </w:rPr>
        <w:t xml:space="preserve">Душина</w:t>
      </w:r>
      <w:r>
        <w:rPr>
          <w:rFonts w:ascii="Times New Roman" w:hAnsi="Times New Roman" w:eastAsia="Times New Roman" w:cs="Times New Roman"/>
          <w:sz w:val="27"/>
          <w:szCs w:val="27"/>
        </w:rPr>
      </w:r>
      <w:r/>
    </w:p>
    <w:p>
      <w:pPr>
        <w:contextualSpacing w:val="0"/>
        <w:jc w:val="both"/>
        <w:spacing w:before="0" w:after="0"/>
        <w:rPr>
          <w:rFonts w:ascii="Times New Roman" w:hAnsi="Times New Roman" w:eastAsia="Times New Roman" w:cs="Times New Roman"/>
          <w:sz w:val="20"/>
          <w:szCs w:val="20"/>
        </w:rPr>
        <w:suppressLineNumbers w:val="0"/>
      </w:pPr>
      <w:r>
        <w:rPr>
          <w:rFonts w:ascii="Times New Roman" w:hAnsi="Times New Roman" w:eastAsia="Times New Roman" w:cs="Times New Roman"/>
          <w:sz w:val="20"/>
        </w:rPr>
        <w:t xml:space="preserve">    </w:t>
      </w:r>
      <w:r>
        <w:rPr>
          <w:rFonts w:ascii="Times New Roman" w:hAnsi="Times New Roman" w:eastAsia="Times New Roman" w:cs="Times New Roman"/>
          <w:sz w:val="20"/>
        </w:rPr>
      </w:r>
      <w:r/>
    </w:p>
    <w:p>
      <w:pPr>
        <w:contextualSpacing w:val="0"/>
        <w:jc w:val="both"/>
        <w:spacing w:before="0" w:after="0"/>
        <w:rPr>
          <w:rFonts w:ascii="Times New Roman" w:hAnsi="Times New Roman" w:eastAsia="Times New Roman" w:cs="Times New Roman"/>
          <w:sz w:val="20"/>
          <w:szCs w:val="20"/>
        </w:rPr>
        <w:suppressLineNumbers w:val="0"/>
      </w:pPr>
      <w:r>
        <w:rPr>
          <w:rFonts w:ascii="Times New Roman" w:hAnsi="Times New Roman" w:eastAsia="Times New Roman" w:cs="Times New Roman"/>
          <w:sz w:val="20"/>
          <w:highlight w:val="none"/>
        </w:rPr>
      </w:r>
      <w:r>
        <w:rPr>
          <w:rFonts w:ascii="Times New Roman" w:hAnsi="Times New Roman" w:eastAsia="Times New Roman" w:cs="Times New Roman"/>
          <w:sz w:val="20"/>
          <w:highlight w:val="none"/>
        </w:rPr>
      </w:r>
      <w:r/>
    </w:p>
    <w:p>
      <w:pPr>
        <w:contextualSpacing w:val="0"/>
        <w:jc w:val="both"/>
        <w:spacing w:before="0" w:after="0"/>
        <w:rPr>
          <w:rFonts w:ascii="Times New Roman" w:hAnsi="Times New Roman" w:eastAsia="Times New Roman" w:cs="Times New Roman"/>
          <w:sz w:val="20"/>
          <w:szCs w:val="20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0"/>
          <w:highlight w:val="none"/>
        </w:rPr>
      </w:r>
      <w:r>
        <w:rPr>
          <w:rFonts w:ascii="Times New Roman" w:hAnsi="Times New Roman" w:eastAsia="Times New Roman" w:cs="Times New Roman"/>
          <w:sz w:val="20"/>
          <w:highlight w:val="none"/>
        </w:rPr>
      </w:r>
      <w:r/>
    </w:p>
    <w:p>
      <w:pPr>
        <w:contextualSpacing w:val="0"/>
        <w:jc w:val="both"/>
        <w:spacing w:before="0" w:after="0"/>
        <w:rPr>
          <w:rFonts w:ascii="Times New Roman" w:hAnsi="Times New Roman" w:eastAsia="Times New Roman" w:cs="Times New Roman"/>
          <w:sz w:val="20"/>
          <w:szCs w:val="20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0"/>
          <w:highlight w:val="none"/>
        </w:rPr>
      </w:r>
      <w:r>
        <w:rPr>
          <w:rFonts w:ascii="Times New Roman" w:hAnsi="Times New Roman" w:eastAsia="Times New Roman" w:cs="Times New Roman"/>
          <w:sz w:val="20"/>
          <w:highlight w:val="none"/>
        </w:rPr>
      </w:r>
      <w:r/>
    </w:p>
    <w:p>
      <w:pPr>
        <w:contextualSpacing w:val="0"/>
        <w:jc w:val="both"/>
        <w:spacing w:before="0" w:after="0"/>
        <w:rPr>
          <w:rFonts w:ascii="Times New Roman" w:hAnsi="Times New Roman" w:eastAsia="Times New Roman" w:cs="Times New Roman"/>
          <w:sz w:val="20"/>
          <w:szCs w:val="20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0"/>
        </w:rPr>
        <w:t xml:space="preserve">                                                                </w:t>
      </w:r>
      <w:r>
        <w:rPr>
          <w:rFonts w:ascii="Times New Roman" w:hAnsi="Times New Roman" w:eastAsia="Times New Roman" w:cs="Times New Roman"/>
          <w:sz w:val="20"/>
        </w:rPr>
        <w:tab/>
        <w:t xml:space="preserve">                </w:t>
      </w:r>
      <w:r/>
    </w:p>
    <w:p>
      <w:pPr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/>
    </w:p>
    <w:p>
      <w:pPr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/>
    </w:p>
    <w:sectPr>
      <w:footnotePr/>
      <w:endnotePr/>
      <w:type w:val="nextPage"/>
      <w:pgSz w:w="11906" w:h="16838" w:orient="portrait"/>
      <w:pgMar w:top="1134" w:right="566" w:bottom="255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6">
    <w:name w:val="Heading 1"/>
    <w:basedOn w:val="814"/>
    <w:next w:val="814"/>
    <w:link w:val="63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7">
    <w:name w:val="Heading 1 Char"/>
    <w:basedOn w:val="815"/>
    <w:link w:val="636"/>
    <w:uiPriority w:val="9"/>
    <w:rPr>
      <w:rFonts w:ascii="Arial" w:hAnsi="Arial" w:eastAsia="Arial" w:cs="Arial"/>
      <w:sz w:val="40"/>
      <w:szCs w:val="40"/>
    </w:rPr>
  </w:style>
  <w:style w:type="paragraph" w:styleId="638">
    <w:name w:val="Heading 2"/>
    <w:basedOn w:val="814"/>
    <w:next w:val="814"/>
    <w:link w:val="6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9">
    <w:name w:val="Heading 2 Char"/>
    <w:basedOn w:val="815"/>
    <w:link w:val="638"/>
    <w:uiPriority w:val="9"/>
    <w:rPr>
      <w:rFonts w:ascii="Arial" w:hAnsi="Arial" w:eastAsia="Arial" w:cs="Arial"/>
      <w:sz w:val="34"/>
    </w:rPr>
  </w:style>
  <w:style w:type="paragraph" w:styleId="640">
    <w:name w:val="Heading 3"/>
    <w:basedOn w:val="814"/>
    <w:next w:val="814"/>
    <w:link w:val="6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1">
    <w:name w:val="Heading 3 Char"/>
    <w:basedOn w:val="815"/>
    <w:link w:val="640"/>
    <w:uiPriority w:val="9"/>
    <w:rPr>
      <w:rFonts w:ascii="Arial" w:hAnsi="Arial" w:eastAsia="Arial" w:cs="Arial"/>
      <w:sz w:val="30"/>
      <w:szCs w:val="30"/>
    </w:rPr>
  </w:style>
  <w:style w:type="paragraph" w:styleId="642">
    <w:name w:val="Heading 4"/>
    <w:basedOn w:val="814"/>
    <w:next w:val="814"/>
    <w:link w:val="6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3">
    <w:name w:val="Heading 4 Char"/>
    <w:basedOn w:val="815"/>
    <w:link w:val="642"/>
    <w:uiPriority w:val="9"/>
    <w:rPr>
      <w:rFonts w:ascii="Arial" w:hAnsi="Arial" w:eastAsia="Arial" w:cs="Arial"/>
      <w:b/>
      <w:bCs/>
      <w:sz w:val="26"/>
      <w:szCs w:val="26"/>
    </w:rPr>
  </w:style>
  <w:style w:type="paragraph" w:styleId="644">
    <w:name w:val="Heading 5"/>
    <w:basedOn w:val="814"/>
    <w:next w:val="814"/>
    <w:link w:val="6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5">
    <w:name w:val="Heading 5 Char"/>
    <w:basedOn w:val="815"/>
    <w:link w:val="644"/>
    <w:uiPriority w:val="9"/>
    <w:rPr>
      <w:rFonts w:ascii="Arial" w:hAnsi="Arial" w:eastAsia="Arial" w:cs="Arial"/>
      <w:b/>
      <w:bCs/>
      <w:sz w:val="24"/>
      <w:szCs w:val="24"/>
    </w:rPr>
  </w:style>
  <w:style w:type="paragraph" w:styleId="646">
    <w:name w:val="Heading 6"/>
    <w:basedOn w:val="814"/>
    <w:next w:val="814"/>
    <w:link w:val="6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7">
    <w:name w:val="Heading 6 Char"/>
    <w:basedOn w:val="815"/>
    <w:link w:val="646"/>
    <w:uiPriority w:val="9"/>
    <w:rPr>
      <w:rFonts w:ascii="Arial" w:hAnsi="Arial" w:eastAsia="Arial" w:cs="Arial"/>
      <w:b/>
      <w:bCs/>
      <w:sz w:val="22"/>
      <w:szCs w:val="22"/>
    </w:rPr>
  </w:style>
  <w:style w:type="paragraph" w:styleId="648">
    <w:name w:val="Heading 7"/>
    <w:basedOn w:val="814"/>
    <w:next w:val="814"/>
    <w:link w:val="6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9">
    <w:name w:val="Heading 7 Char"/>
    <w:basedOn w:val="815"/>
    <w:link w:val="6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0">
    <w:name w:val="Heading 8"/>
    <w:basedOn w:val="814"/>
    <w:next w:val="814"/>
    <w:link w:val="6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1">
    <w:name w:val="Heading 8 Char"/>
    <w:basedOn w:val="815"/>
    <w:link w:val="650"/>
    <w:uiPriority w:val="9"/>
    <w:rPr>
      <w:rFonts w:ascii="Arial" w:hAnsi="Arial" w:eastAsia="Arial" w:cs="Arial"/>
      <w:i/>
      <w:iCs/>
      <w:sz w:val="22"/>
      <w:szCs w:val="22"/>
    </w:rPr>
  </w:style>
  <w:style w:type="paragraph" w:styleId="652">
    <w:name w:val="Heading 9"/>
    <w:basedOn w:val="814"/>
    <w:next w:val="814"/>
    <w:link w:val="6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3">
    <w:name w:val="Heading 9 Char"/>
    <w:basedOn w:val="815"/>
    <w:link w:val="652"/>
    <w:uiPriority w:val="9"/>
    <w:rPr>
      <w:rFonts w:ascii="Arial" w:hAnsi="Arial" w:eastAsia="Arial" w:cs="Arial"/>
      <w:i/>
      <w:iCs/>
      <w:sz w:val="21"/>
      <w:szCs w:val="21"/>
    </w:rPr>
  </w:style>
  <w:style w:type="paragraph" w:styleId="654">
    <w:name w:val="List Paragraph"/>
    <w:basedOn w:val="814"/>
    <w:uiPriority w:val="34"/>
    <w:qFormat/>
    <w:pPr>
      <w:contextualSpacing/>
      <w:ind w:left="720"/>
    </w:pPr>
  </w:style>
  <w:style w:type="paragraph" w:styleId="655">
    <w:name w:val="No Spacing"/>
    <w:uiPriority w:val="1"/>
    <w:qFormat/>
    <w:pPr>
      <w:spacing w:before="0" w:after="0" w:line="240" w:lineRule="auto"/>
    </w:pPr>
  </w:style>
  <w:style w:type="paragraph" w:styleId="656">
    <w:name w:val="Title"/>
    <w:basedOn w:val="814"/>
    <w:next w:val="814"/>
    <w:link w:val="6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7">
    <w:name w:val="Title Char"/>
    <w:basedOn w:val="815"/>
    <w:link w:val="656"/>
    <w:uiPriority w:val="10"/>
    <w:rPr>
      <w:sz w:val="48"/>
      <w:szCs w:val="48"/>
    </w:rPr>
  </w:style>
  <w:style w:type="paragraph" w:styleId="658">
    <w:name w:val="Subtitle"/>
    <w:basedOn w:val="814"/>
    <w:next w:val="814"/>
    <w:link w:val="659"/>
    <w:uiPriority w:val="11"/>
    <w:qFormat/>
    <w:pPr>
      <w:spacing w:before="200" w:after="200"/>
    </w:pPr>
    <w:rPr>
      <w:sz w:val="24"/>
      <w:szCs w:val="24"/>
    </w:rPr>
  </w:style>
  <w:style w:type="character" w:styleId="659">
    <w:name w:val="Subtitle Char"/>
    <w:basedOn w:val="815"/>
    <w:link w:val="658"/>
    <w:uiPriority w:val="11"/>
    <w:rPr>
      <w:sz w:val="24"/>
      <w:szCs w:val="24"/>
    </w:rPr>
  </w:style>
  <w:style w:type="paragraph" w:styleId="660">
    <w:name w:val="Quote"/>
    <w:basedOn w:val="814"/>
    <w:next w:val="814"/>
    <w:link w:val="661"/>
    <w:uiPriority w:val="29"/>
    <w:qFormat/>
    <w:pPr>
      <w:ind w:left="720" w:right="720"/>
    </w:pPr>
    <w:rPr>
      <w:i/>
    </w:rPr>
  </w:style>
  <w:style w:type="character" w:styleId="661">
    <w:name w:val="Quote Char"/>
    <w:link w:val="660"/>
    <w:uiPriority w:val="29"/>
    <w:rPr>
      <w:i/>
    </w:rPr>
  </w:style>
  <w:style w:type="paragraph" w:styleId="662">
    <w:name w:val="Intense Quote"/>
    <w:basedOn w:val="814"/>
    <w:next w:val="814"/>
    <w:link w:val="6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3">
    <w:name w:val="Intense Quote Char"/>
    <w:link w:val="662"/>
    <w:uiPriority w:val="30"/>
    <w:rPr>
      <w:i/>
    </w:rPr>
  </w:style>
  <w:style w:type="paragraph" w:styleId="664">
    <w:name w:val="Header"/>
    <w:basedOn w:val="814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Header Char"/>
    <w:basedOn w:val="815"/>
    <w:link w:val="664"/>
    <w:uiPriority w:val="99"/>
  </w:style>
  <w:style w:type="paragraph" w:styleId="666">
    <w:name w:val="Footer"/>
    <w:basedOn w:val="814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>
    <w:name w:val="Footer Char"/>
    <w:basedOn w:val="815"/>
    <w:link w:val="666"/>
    <w:uiPriority w:val="99"/>
  </w:style>
  <w:style w:type="paragraph" w:styleId="668">
    <w:name w:val="Caption"/>
    <w:basedOn w:val="814"/>
    <w:next w:val="8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9">
    <w:name w:val="Caption Char"/>
    <w:basedOn w:val="668"/>
    <w:link w:val="666"/>
    <w:uiPriority w:val="99"/>
  </w:style>
  <w:style w:type="table" w:styleId="670">
    <w:name w:val="Table Grid"/>
    <w:basedOn w:val="81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1">
    <w:name w:val="Table Grid Light"/>
    <w:basedOn w:val="81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2">
    <w:name w:val="Plain Table 1"/>
    <w:basedOn w:val="81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2"/>
    <w:basedOn w:val="81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3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>
    <w:name w:val="Plain Table 4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Plain Table 5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7">
    <w:name w:val="Grid Table 1 Light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1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2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3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4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5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6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1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2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3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4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5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6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1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2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3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4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5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6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basedOn w:val="8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>
    <w:name w:val="Grid Table 4 - Accent 1"/>
    <w:basedOn w:val="8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0">
    <w:name w:val="Grid Table 4 - Accent 2"/>
    <w:basedOn w:val="8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1">
    <w:name w:val="Grid Table 4 - Accent 3"/>
    <w:basedOn w:val="8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2">
    <w:name w:val="Grid Table 4 - Accent 4"/>
    <w:basedOn w:val="8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3">
    <w:name w:val="Grid Table 4 - Accent 5"/>
    <w:basedOn w:val="8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4">
    <w:name w:val="Grid Table 4 - Accent 6"/>
    <w:basedOn w:val="8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5">
    <w:name w:val="Grid Table 5 Dark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6">
    <w:name w:val="Grid Table 5 Dark- Accent 1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2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3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9">
    <w:name w:val="Grid Table 5 Dark- Accent 4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5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6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2">
    <w:name w:val="Grid Table 6 Colorful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3">
    <w:name w:val="Grid Table 6 Colorful - Accent 1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4">
    <w:name w:val="Grid Table 6 Colorful - Accent 2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5">
    <w:name w:val="Grid Table 6 Colorful - Accent 3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6">
    <w:name w:val="Grid Table 6 Colorful - Accent 4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7">
    <w:name w:val="Grid Table 6 Colorful - Accent 5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8">
    <w:name w:val="Grid Table 6 Colorful - Accent 6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9">
    <w:name w:val="Grid Table 7 Colorful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1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2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3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4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5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6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1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2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3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4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5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6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2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4">
    <w:name w:val="List Table 2 - Accent 1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5">
    <w:name w:val="List Table 2 - Accent 2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6">
    <w:name w:val="List Table 2 - Accent 3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7">
    <w:name w:val="List Table 2 - Accent 4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8">
    <w:name w:val="List Table 2 - Accent 5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9">
    <w:name w:val="List Table 2 - Accent 6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0">
    <w:name w:val="List Table 3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1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2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3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4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5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6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1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2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3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4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5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6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5 Dark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1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2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3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4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5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6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6 Colorful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2">
    <w:name w:val="List Table 6 Colorful - Accent 1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3">
    <w:name w:val="List Table 6 Colorful - Accent 2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4">
    <w:name w:val="List Table 6 Colorful - Accent 3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5">
    <w:name w:val="List Table 6 Colorful - Accent 4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6">
    <w:name w:val="List Table 6 Colorful - Accent 5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7">
    <w:name w:val="List Table 6 Colorful - Accent 6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8">
    <w:name w:val="List Table 7 Colorful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9">
    <w:name w:val="List Table 7 Colorful - Accent 1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0">
    <w:name w:val="List Table 7 Colorful - Accent 2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1">
    <w:name w:val="List Table 7 Colorful - Accent 3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2">
    <w:name w:val="List Table 7 Colorful - Accent 4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3">
    <w:name w:val="List Table 7 Colorful - Accent 5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4">
    <w:name w:val="List Table 7 Colorful - Accent 6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5">
    <w:name w:val="Lined - Accent"/>
    <w:basedOn w:val="8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6">
    <w:name w:val="Lined - Accent 1"/>
    <w:basedOn w:val="8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7">
    <w:name w:val="Lined - Accent 2"/>
    <w:basedOn w:val="8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8">
    <w:name w:val="Lined - Accent 3"/>
    <w:basedOn w:val="8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9">
    <w:name w:val="Lined - Accent 4"/>
    <w:basedOn w:val="8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0">
    <w:name w:val="Lined - Accent 5"/>
    <w:basedOn w:val="8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1">
    <w:name w:val="Lined - Accent 6"/>
    <w:basedOn w:val="8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2">
    <w:name w:val="Bordered &amp; Lined - Accent"/>
    <w:basedOn w:val="8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3">
    <w:name w:val="Bordered &amp; Lined - Accent 1"/>
    <w:basedOn w:val="8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4">
    <w:name w:val="Bordered &amp; Lined - Accent 2"/>
    <w:basedOn w:val="8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5">
    <w:name w:val="Bordered &amp; Lined - Accent 3"/>
    <w:basedOn w:val="8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6">
    <w:name w:val="Bordered &amp; Lined - Accent 4"/>
    <w:basedOn w:val="8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7">
    <w:name w:val="Bordered &amp; Lined - Accent 5"/>
    <w:basedOn w:val="8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8">
    <w:name w:val="Bordered &amp; Lined - Accent 6"/>
    <w:basedOn w:val="81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9">
    <w:name w:val="Bordered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0">
    <w:name w:val="Bordered - Accent 1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1">
    <w:name w:val="Bordered - Accent 2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2">
    <w:name w:val="Bordered - Accent 3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3">
    <w:name w:val="Bordered - Accent 4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4">
    <w:name w:val="Bordered - Accent 5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5">
    <w:name w:val="Bordered - Accent 6"/>
    <w:basedOn w:val="8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6">
    <w:name w:val="Hyperlink"/>
    <w:uiPriority w:val="99"/>
    <w:unhideWhenUsed/>
    <w:rPr>
      <w:color w:val="0000ff" w:themeColor="hyperlink"/>
      <w:u w:val="single"/>
    </w:rPr>
  </w:style>
  <w:style w:type="paragraph" w:styleId="797">
    <w:name w:val="footnote text"/>
    <w:basedOn w:val="814"/>
    <w:link w:val="798"/>
    <w:uiPriority w:val="99"/>
    <w:semiHidden/>
    <w:unhideWhenUsed/>
    <w:pPr>
      <w:spacing w:after="40" w:line="240" w:lineRule="auto"/>
    </w:pPr>
    <w:rPr>
      <w:sz w:val="18"/>
    </w:rPr>
  </w:style>
  <w:style w:type="character" w:styleId="798">
    <w:name w:val="Footnote Text Char"/>
    <w:link w:val="797"/>
    <w:uiPriority w:val="99"/>
    <w:rPr>
      <w:sz w:val="18"/>
    </w:rPr>
  </w:style>
  <w:style w:type="character" w:styleId="799">
    <w:name w:val="footnote reference"/>
    <w:basedOn w:val="815"/>
    <w:uiPriority w:val="99"/>
    <w:unhideWhenUsed/>
    <w:rPr>
      <w:vertAlign w:val="superscript"/>
    </w:rPr>
  </w:style>
  <w:style w:type="paragraph" w:styleId="800">
    <w:name w:val="endnote text"/>
    <w:basedOn w:val="814"/>
    <w:link w:val="801"/>
    <w:uiPriority w:val="99"/>
    <w:semiHidden/>
    <w:unhideWhenUsed/>
    <w:pPr>
      <w:spacing w:after="0" w:line="240" w:lineRule="auto"/>
    </w:pPr>
    <w:rPr>
      <w:sz w:val="20"/>
    </w:rPr>
  </w:style>
  <w:style w:type="character" w:styleId="801">
    <w:name w:val="Endnote Text Char"/>
    <w:link w:val="800"/>
    <w:uiPriority w:val="99"/>
    <w:rPr>
      <w:sz w:val="20"/>
    </w:rPr>
  </w:style>
  <w:style w:type="character" w:styleId="802">
    <w:name w:val="endnote reference"/>
    <w:basedOn w:val="815"/>
    <w:uiPriority w:val="99"/>
    <w:semiHidden/>
    <w:unhideWhenUsed/>
    <w:rPr>
      <w:vertAlign w:val="superscript"/>
    </w:rPr>
  </w:style>
  <w:style w:type="paragraph" w:styleId="803">
    <w:name w:val="toc 1"/>
    <w:basedOn w:val="814"/>
    <w:next w:val="814"/>
    <w:uiPriority w:val="39"/>
    <w:unhideWhenUsed/>
    <w:pPr>
      <w:ind w:left="0" w:right="0" w:firstLine="0"/>
      <w:spacing w:after="57"/>
    </w:pPr>
  </w:style>
  <w:style w:type="paragraph" w:styleId="804">
    <w:name w:val="toc 2"/>
    <w:basedOn w:val="814"/>
    <w:next w:val="814"/>
    <w:uiPriority w:val="39"/>
    <w:unhideWhenUsed/>
    <w:pPr>
      <w:ind w:left="283" w:right="0" w:firstLine="0"/>
      <w:spacing w:after="57"/>
    </w:pPr>
  </w:style>
  <w:style w:type="paragraph" w:styleId="805">
    <w:name w:val="toc 3"/>
    <w:basedOn w:val="814"/>
    <w:next w:val="814"/>
    <w:uiPriority w:val="39"/>
    <w:unhideWhenUsed/>
    <w:pPr>
      <w:ind w:left="567" w:right="0" w:firstLine="0"/>
      <w:spacing w:after="57"/>
    </w:pPr>
  </w:style>
  <w:style w:type="paragraph" w:styleId="806">
    <w:name w:val="toc 4"/>
    <w:basedOn w:val="814"/>
    <w:next w:val="814"/>
    <w:uiPriority w:val="39"/>
    <w:unhideWhenUsed/>
    <w:pPr>
      <w:ind w:left="850" w:right="0" w:firstLine="0"/>
      <w:spacing w:after="57"/>
    </w:pPr>
  </w:style>
  <w:style w:type="paragraph" w:styleId="807">
    <w:name w:val="toc 5"/>
    <w:basedOn w:val="814"/>
    <w:next w:val="814"/>
    <w:uiPriority w:val="39"/>
    <w:unhideWhenUsed/>
    <w:pPr>
      <w:ind w:left="1134" w:right="0" w:firstLine="0"/>
      <w:spacing w:after="57"/>
    </w:pPr>
  </w:style>
  <w:style w:type="paragraph" w:styleId="808">
    <w:name w:val="toc 6"/>
    <w:basedOn w:val="814"/>
    <w:next w:val="814"/>
    <w:uiPriority w:val="39"/>
    <w:unhideWhenUsed/>
    <w:pPr>
      <w:ind w:left="1417" w:right="0" w:firstLine="0"/>
      <w:spacing w:after="57"/>
    </w:pPr>
  </w:style>
  <w:style w:type="paragraph" w:styleId="809">
    <w:name w:val="toc 7"/>
    <w:basedOn w:val="814"/>
    <w:next w:val="814"/>
    <w:uiPriority w:val="39"/>
    <w:unhideWhenUsed/>
    <w:pPr>
      <w:ind w:left="1701" w:right="0" w:firstLine="0"/>
      <w:spacing w:after="57"/>
    </w:pPr>
  </w:style>
  <w:style w:type="paragraph" w:styleId="810">
    <w:name w:val="toc 8"/>
    <w:basedOn w:val="814"/>
    <w:next w:val="814"/>
    <w:uiPriority w:val="39"/>
    <w:unhideWhenUsed/>
    <w:pPr>
      <w:ind w:left="1984" w:right="0" w:firstLine="0"/>
      <w:spacing w:after="57"/>
    </w:pPr>
  </w:style>
  <w:style w:type="paragraph" w:styleId="811">
    <w:name w:val="toc 9"/>
    <w:basedOn w:val="814"/>
    <w:next w:val="814"/>
    <w:uiPriority w:val="39"/>
    <w:unhideWhenUsed/>
    <w:pPr>
      <w:ind w:left="2268" w:right="0" w:firstLine="0"/>
      <w:spacing w:after="57"/>
    </w:pPr>
  </w:style>
  <w:style w:type="paragraph" w:styleId="812">
    <w:name w:val="TOC Heading"/>
    <w:uiPriority w:val="39"/>
    <w:unhideWhenUsed/>
  </w:style>
  <w:style w:type="paragraph" w:styleId="813">
    <w:name w:val="table of figures"/>
    <w:basedOn w:val="814"/>
    <w:next w:val="814"/>
    <w:uiPriority w:val="99"/>
    <w:unhideWhenUsed/>
    <w:pPr>
      <w:spacing w:after="0" w:afterAutospacing="0"/>
    </w:pPr>
  </w:style>
  <w:style w:type="paragraph" w:styleId="814" w:default="1">
    <w:name w:val="Normal"/>
    <w:qFormat/>
  </w:style>
  <w:style w:type="character" w:styleId="815" w:default="1">
    <w:name w:val="Default Paragraph Font"/>
    <w:uiPriority w:val="1"/>
    <w:semiHidden/>
    <w:unhideWhenUsed/>
  </w:style>
  <w:style w:type="table" w:styleId="81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7" w:default="1">
    <w:name w:val="No List"/>
    <w:uiPriority w:val="99"/>
    <w:semiHidden/>
    <w:unhideWhenUsed/>
  </w:style>
  <w:style w:type="character" w:styleId="818" w:customStyle="1">
    <w:name w:val="Знак сноски"/>
    <w:uiPriority w:val="99"/>
    <w:semiHidden/>
    <w:unhideWhenUsed/>
    <w:rPr>
      <w:vertAlign w:val="superscript"/>
    </w:rPr>
  </w:style>
  <w:style w:type="character" w:styleId="819" w:customStyle="1">
    <w:name w:val="Гиперссылка"/>
    <w:uiPriority w:val="99"/>
    <w:semiHidden/>
    <w:unhideWhenUsed/>
    <w:rPr>
      <w:color w:val="0563c1"/>
      <w:u w:val="single"/>
    </w:rPr>
  </w:style>
  <w:style w:type="paragraph" w:styleId="820" w:customStyle="1">
    <w:name w:val="Основной текст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34</cp:revision>
  <dcterms:created xsi:type="dcterms:W3CDTF">2022-12-01T11:09:00Z</dcterms:created>
  <dcterms:modified xsi:type="dcterms:W3CDTF">2026-02-11T11:11:18Z</dcterms:modified>
</cp:coreProperties>
</file>