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 № 11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плановой проверки  соблюдения требований законодательства Российской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Федерации в сфере закупок для муниципального бюджетного общеобразовательного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 муниципального образования муниципальный округ город Горячий Ключ Краснодарского края «Средняя общеобразовательная школа № 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имени Горбунова Ильи Тимофеевича»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28.11.2025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город Горячий Ключ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Основание для проверки: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25.11.2024 г. № 129р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проверки: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органа: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Душиной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24.11.2025г. по 28.11.2025г.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01.12.2024г. по 31.10.2025г.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лиза истребованных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плановой проверки (далее Проверка) директору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бюджетного общеобразовательного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образования муниципальный округ город Горячий Ключ Краснодарского края «Средняя общеобразовательная школа № 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имени Горбунова Ильи Тимофеевича»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СОШ №8) было вручено уведомление о проверке.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образования администрации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образования город Горячий Ключ № 256-л от 14.06.2019 г. обязанности директора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СОШ № 8 возложены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Шеремет Людмилу Николаевну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закупок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СОШ №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02.09.2024г. № 4-ОД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назначен заместитель директора по АХР Запорожец Н.А.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момент проверки в стадии размещения заказов 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результате проведения второго этапа плановой проверки установлено: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 финансово-хозяйственной деятельности (далее ПФХД) на 2025 год утвержден начальником управления образования администрации муниципального  образования муниципальный округ город Горячий Ключ Краснодарского края 25.12.2024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план-график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СОШ № 8 на 2025 год должен быть утвержден не ранее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года и не позднее 20.01.2025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СОШ №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 для обеспечения муниципальных нужд на 2025 финансовый год.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Указанный план-график утвержден заказчиком 27.12.2024 года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установленный законом срок.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предпринимательства, социально-ориентированных некоммерческих организаций.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об объеме закупок у субъектов малого предпринимательства за 2024 год размещен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СОШ №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–30.03.2025 года в установленный законом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СОШ № 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или муниципальных контрактов.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1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ч. 1 статьи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95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№ 44-Ф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зменение существенных условий контракта при его исполнении не допускается,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за исключением их изменения по соглашению сторон в случае, если по предложению заказчика увеличиваются предусмотренные контрактом (за исключением контракта, предметом которого является выполнение работ по строительству, реконструкции, капи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тальному ремонту, сносу объекта капитального строительства, геологическому изучению недр, проведению работ по сохранению объектов культурного наследия (памятников истории и культуры) народов Российской Федерации) количество товара, объем работы или услуги 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не более чем на десять процентов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 или уменьшаются предусмотренные контрактом количество поставляемого товара, объем выполняемой работы или оказываемой услуги 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не более чем на десять процентов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. При этом по соглашению сторон допускается изменен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ие с учетом положений бюджетного законодательства Российской Федерации цены контракта пропорционально дополнительному количеству товара, дополнительному объему работы или услуги исходя из установленной в контракте цены единицы товара, работы или услуги, но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 не более чем на десять процентов цены контракта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результате выборочной проверки контрактов заключенных заказчиком выявлены следующие нарушения: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4"/>
        <w:numPr>
          <w:ilvl w:val="0"/>
          <w:numId w:val="3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 контракт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поставку продуктов 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ИП Гапоненко В.М.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от 09.01.2025 г. № 4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сумму 187136,74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ru-RU" w:bidi="ar-SA"/>
        </w:rPr>
        <w:t xml:space="preserve">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дополнительного соглашения № 1 от 09.01.2025 г. к договору № 4 от 09.01.2025 г. стороны приняли решение о внесении изменений с 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187136,74</w:t>
      </w:r>
      <w:r>
        <w:rPr>
          <w:rFonts w:ascii="Times New Roman" w:hAnsi="Times New Roman"/>
          <w:sz w:val="28"/>
          <w:szCs w:val="28"/>
        </w:rPr>
        <w:t xml:space="preserve"> на сумму 160906,43 руб., что составило уменьшение цены Контракта на 14.01%.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4"/>
        <w:numPr>
          <w:ilvl w:val="0"/>
          <w:numId w:val="3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 контракт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поставку продуктов 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ИП Гапоненко В.М.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от 09.01.2025 г. № 5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сумму 328173,11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ru-RU" w:bidi="ar-SA"/>
        </w:rPr>
        <w:t xml:space="preserve">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дополнительного соглашения № 1 от 09.01.2025 г. к договору № 5 от 09.01.2025 г. стороны приняли решение о внесении изменений с 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328173,11</w:t>
      </w:r>
      <w:r>
        <w:rPr>
          <w:rFonts w:ascii="Times New Roman" w:hAnsi="Times New Roman"/>
          <w:sz w:val="28"/>
          <w:szCs w:val="28"/>
        </w:rPr>
        <w:t xml:space="preserve"> на сумму 243921,27 руб., что составило уменьшение цены Контракта на 25,7%.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numPr>
          <w:ilvl w:val="0"/>
          <w:numId w:val="3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 контракт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поставку продуктов 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ИП Гапоненко В.М.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от 03.02.2025 г. № 8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сумму 452887,83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ru-RU" w:bidi="ar-SA"/>
        </w:rPr>
        <w:t xml:space="preserve">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дополнительного соглашения № 1 от 03.02.2025 г. к договору № 8 от 03.02.2025 г. стороны приняли решение о внесении изменений с 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452887,83</w:t>
      </w:r>
      <w:r>
        <w:rPr>
          <w:rFonts w:ascii="Times New Roman" w:hAnsi="Times New Roman"/>
          <w:sz w:val="28"/>
          <w:szCs w:val="28"/>
        </w:rPr>
        <w:t xml:space="preserve"> на сумму 330623,51 руб., что составило уменьшение цены Контракта на 27%.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54"/>
        <w:numPr>
          <w:ilvl w:val="0"/>
          <w:numId w:val="3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 контракт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поставку продуктов 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ИП Гапоненко В.М.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от 03.02.2025 г. № 9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сумму 552061,96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ru-RU" w:bidi="ar-SA"/>
        </w:rPr>
        <w:t xml:space="preserve">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дополнительного соглашения № 1 от 03.02.2025 г. к договору № 9 от 03.02.2025 г. стороны приняли решение о внесении изменений с 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552061,96</w:t>
      </w:r>
      <w:r>
        <w:rPr>
          <w:rFonts w:ascii="Times New Roman" w:hAnsi="Times New Roman"/>
          <w:sz w:val="28"/>
          <w:szCs w:val="28"/>
        </w:rPr>
        <w:t xml:space="preserve"> на сумму 355599,41 руб., что составило уменьшение цены Контракта на 35,6%.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54"/>
        <w:numPr>
          <w:ilvl w:val="0"/>
          <w:numId w:val="3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 контракт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поставку продуктов 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ИП Гапоненко В.М.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от 03.02.2025 г. № 10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сумму 226549,86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ru-RU" w:bidi="ar-SA"/>
        </w:rPr>
        <w:t xml:space="preserve">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дополнительного соглашения № 1 от 03.02.2025 г. к договору № 10 от 03.02.2025 г. стороны приняли решение о внесении изменений с 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226549,86</w:t>
      </w:r>
      <w:r>
        <w:rPr>
          <w:rFonts w:ascii="Times New Roman" w:hAnsi="Times New Roman"/>
          <w:sz w:val="28"/>
          <w:szCs w:val="28"/>
        </w:rPr>
        <w:t xml:space="preserve"> на сумму 144917,97 руб., что составило уменьшение цены Контракта на 36%.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numPr>
          <w:ilvl w:val="0"/>
          <w:numId w:val="3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 контракт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поставку продуктов 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ИП Гапоненко В.М.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от 01.04.2025 г. № 13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сумму 468139,4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ru-RU" w:bidi="ar-SA"/>
        </w:rPr>
        <w:t xml:space="preserve">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дополнительного соглашения № 1 от 01.04.2025 г. к договору № 13 от 01.04.2025 г. стороны приняли решение о внесении изменений с 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468139,4</w:t>
      </w:r>
      <w:r>
        <w:rPr>
          <w:rFonts w:ascii="Times New Roman" w:hAnsi="Times New Roman"/>
          <w:sz w:val="28"/>
          <w:szCs w:val="28"/>
        </w:rPr>
        <w:t xml:space="preserve"> на сумму 321693,79 руб., что составило уменьшение цены Контракта на 31,3%.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заключен контракт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поставку продуктов 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ИП Гапоненко В.М.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от 01.04.2025 г. № 14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сумму 575539,8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ru-RU" w:bidi="ar-SA"/>
        </w:rPr>
        <w:t xml:space="preserve">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дополнительного соглашения № 1 от 01.04.2025 г. к договору № 14 от 01.04.2025 г. стороны приняли решение о внесении изменений с 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575539,8</w:t>
      </w:r>
      <w:r>
        <w:rPr>
          <w:rFonts w:ascii="Times New Roman" w:hAnsi="Times New Roman"/>
          <w:sz w:val="28"/>
          <w:szCs w:val="28"/>
        </w:rPr>
        <w:t xml:space="preserve"> на сумму 343498,16 руб., что составило уменьшение цены Контракта на 40,3%.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8)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 контракт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поставку продуктов 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ИП Гапоненко В.М.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от 01.04.2025 г. № 15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сумму 186820,34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ru-RU" w:bidi="ar-SA"/>
        </w:rPr>
        <w:t xml:space="preserve">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дополнительного соглашения № 1 от 01.04.2025 г. к договору № 15 от 01.04.2025 г. стороны приняли решение о внесении изменений с 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186820,34</w:t>
      </w:r>
      <w:r>
        <w:rPr>
          <w:rFonts w:ascii="Times New Roman" w:hAnsi="Times New Roman"/>
          <w:sz w:val="28"/>
          <w:szCs w:val="28"/>
        </w:rPr>
        <w:t xml:space="preserve"> на сумму 133084,08 руб., что составило уменьшение цены Контракта на 28,76%.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14"/>
        <w:ind w:left="0" w:right="0" w:firstLine="709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Частью 3 статьи 7.30.2 Кодекса Российской Федерации об административных правонарушениях (далее КоАП РФ) предусмотрена административная ответственность за нарушение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установленных законодательством Российской Федерации и иными нормативными правовыми актами о контрактной системе в сфере закупок требований к и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зменению условий контракта.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4"/>
        <w:ind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  <w:u w:val="none"/>
        </w:rPr>
        <w:pBdr>
          <w:bottom w:val="singl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признаки административного правонарушения, предусмотренного частью 3 статьи 7.30.2 КоАП РФ, усматриваются в действиях (бездействии)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заместителя директора по АХЧ Запорожец Н.А.</w:t>
      </w:r>
      <w:r>
        <w:rPr>
          <w:rFonts w:ascii="Times New Roman" w:hAnsi="Times New Roman" w:cs="Times New Roman"/>
          <w:sz w:val="28"/>
          <w:szCs w:val="28"/>
        </w:rPr>
        <w:t xml:space="preserve">, не обеспечившей соблюдение установленн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к изменению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  <w:lang w:val="ru-RU" w:eastAsia="ru-RU" w:bidi="ar-SA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рассматриваемых Контрактов.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u w:val="none"/>
        </w:rPr>
        <w:pBdr>
          <w:bottom w:val="singl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contextualSpacing w:val="0"/>
        <w:jc w:val="both"/>
        <w:spacing w:before="0" w:after="0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Выводы: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" w:firstLine="710"/>
        <w:jc w:val="both"/>
        <w:spacing w:before="0" w:after="0" w:line="276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По результатам проверки в действиях заказчика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8 нарушени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1 статьи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95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№ 44-Ф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Учитывая, что вышеуказанн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ое нарушени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е  содержит признаки состава административных правонарушений, предусмотренных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ч. 3 статьи 7.30.2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КоАП  материалы проверки  направляются в Управление Федеральной антимонопольной службы по Краснодарскому краю.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знакомления Шеремет Л.Н.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 директору муниципального бюджетного  образовательного учреждения муниципального образования муниципальный округ город Горячий Ключ Краснодарского края «Средняя общеобразовательная школа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имени  Горбунова Ильи Тимофеевича»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   (п</w:t>
      </w:r>
      <w:r>
        <w:rPr>
          <w:rFonts w:ascii="Times New Roman" w:hAnsi="Times New Roman" w:eastAsia="Times New Roman" w:cs="Times New Roman"/>
          <w:sz w:val="20"/>
        </w:rPr>
        <w:t xml:space="preserve">одпись)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(ФИО)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Получил        __________                 __________                       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дата                                           подпись                                                       (ФИО)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6" w:bottom="110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19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27</cp:revision>
  <dcterms:created xsi:type="dcterms:W3CDTF">2022-12-01T11:09:00Z</dcterms:created>
  <dcterms:modified xsi:type="dcterms:W3CDTF">2025-11-27T11:37:21Z</dcterms:modified>
</cp:coreProperties>
</file>