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textAlignment w:val="baseline"/>
        <w:rPr/>
      </w:pPr>
      <w:r>
        <w:rPr>
          <w:rFonts w:eastAsia="Calibri" w:cs="Times New Roman" w:ascii="Times New Roman" w:hAnsi="Times New Roman"/>
          <w:sz w:val="27"/>
          <w:szCs w:val="27"/>
        </w:rPr>
        <w:t xml:space="preserve">Информация отдела внутреннего финансового контроля муниципального образования муниципальный округ город Горячий Ключ Краснодарского края о результатах контрольного мероприятия в </w:t>
      </w:r>
      <w:r>
        <w:rPr>
          <w:rStyle w:val="Style17"/>
          <w:rFonts w:eastAsia="Calibri" w:cs="Times New Roman" w:ascii="Times New Roman" w:hAnsi="Times New Roman"/>
          <w:sz w:val="27"/>
          <w:szCs w:val="27"/>
        </w:rPr>
        <w:t xml:space="preserve">муниципальном бюджетном дошкольном образовательном учреждении </w:t>
      </w:r>
      <w:r>
        <w:rPr>
          <w:rFonts w:cs="Times New Roman" w:ascii="Times New Roman" w:hAnsi="Times New Roman"/>
          <w:sz w:val="27"/>
          <w:szCs w:val="27"/>
        </w:rPr>
        <w:t>муниципального образования муниципальный округ город Горячий Ключ</w:t>
      </w:r>
      <w:r>
        <w:rPr>
          <w:rStyle w:val="Style17"/>
          <w:rFonts w:eastAsia="Calibri" w:cs="Times New Roman" w:ascii="Times New Roman" w:hAnsi="Times New Roman"/>
          <w:sz w:val="27"/>
          <w:szCs w:val="27"/>
        </w:rPr>
        <w:t xml:space="preserve"> Краснодарского края «Детский сад № 11»</w:t>
      </w:r>
    </w:p>
    <w:p>
      <w:pPr>
        <w:pStyle w:val="Normal"/>
        <w:spacing w:lineRule="auto" w:line="240" w:before="0" w:after="0"/>
        <w:jc w:val="center"/>
        <w:textAlignment w:val="baseline"/>
        <w:rPr>
          <w:rFonts w:ascii="Times New Roman" w:hAnsi="Times New Roman" w:eastAsia="Calibri" w:cs="Times New Roman"/>
          <w:sz w:val="27"/>
          <w:szCs w:val="27"/>
        </w:rPr>
      </w:pPr>
      <w:r>
        <w:rPr>
          <w:rStyle w:val="Style17"/>
          <w:rFonts w:eastAsia="Calibri" w:cs="Times New Roman" w:ascii="Times New Roman" w:hAnsi="Times New Roman"/>
          <w:sz w:val="27"/>
          <w:szCs w:val="27"/>
        </w:rPr>
        <w:t>(МБДОУ Д/С  № 11)</w:t>
      </w:r>
    </w:p>
    <w:p>
      <w:pPr>
        <w:pStyle w:val="Normal"/>
        <w:spacing w:lineRule="auto" w:line="240" w:before="0" w:after="0"/>
        <w:jc w:val="center"/>
        <w:textAlignment w:val="baseline"/>
        <w:rPr>
          <w:rFonts w:ascii="Times New Roman" w:hAnsi="Times New Roman" w:eastAsia="Calibri" w:cs="Calibri"/>
          <w:sz w:val="27"/>
          <w:szCs w:val="27"/>
        </w:rPr>
      </w:pPr>
      <w:r>
        <w:rPr>
          <w:rFonts w:eastAsia="Calibri" w:cs="Calibri" w:ascii="Times New Roman" w:hAnsi="Times New Roman"/>
          <w:sz w:val="27"/>
          <w:szCs w:val="27"/>
        </w:rPr>
      </w:r>
    </w:p>
    <w:p>
      <w:pPr>
        <w:pStyle w:val="Normal"/>
        <w:widowControl w:val="false"/>
        <w:spacing w:lineRule="auto" w:line="240" w:before="0" w:after="0"/>
        <w:jc w:val="both"/>
        <w:textAlignment w:val="baseline"/>
        <w:rPr>
          <w:rFonts w:ascii="Arial" w:hAnsi="Arial" w:eastAsia="Times New Roman" w:cs="Arial"/>
          <w:sz w:val="27"/>
          <w:szCs w:val="27"/>
          <w:lang w:eastAsia="ru-RU"/>
        </w:rPr>
      </w:pPr>
      <w:r>
        <w:rPr>
          <w:rFonts w:eastAsia="Times New Roman" w:cs="Times New Roman" w:ascii="Times New Roman" w:hAnsi="Times New Roman"/>
          <w:sz w:val="27"/>
          <w:szCs w:val="27"/>
          <w:lang w:eastAsia="ru-RU"/>
        </w:rPr>
        <w:tab/>
        <w:t>Контрольное мероприятие в МБДОУ Д/С № 11 (далее также – учреждение) проведено отделом внутреннего финансового контроля администрации муниципального образования муниципальный округ город Горячий Ключ Краснодарского края (далее – отдел внутреннего финансового контроля) на основании пунктов 5, 6 плана контрольных мероприятий отдела внутреннего финансового контроля на 2025 год, утвержденного распоряжением администрации муниципального образования город Горячий Ключ от 27.11.2024 г. № 131р, распоряжения администрации муниципального образования город Горячий Ключ от</w:t>
      </w:r>
      <w:r>
        <w:rPr>
          <w:rFonts w:eastAsia="Times New Roman" w:cs="Times New Roman" w:ascii="Times New Roman" w:hAnsi="Times New Roman"/>
          <w:sz w:val="27"/>
          <w:szCs w:val="27"/>
          <w:shd w:fill="FFFFFF" w:val="clear"/>
          <w:lang w:eastAsia="ru-RU"/>
        </w:rPr>
        <w:t xml:space="preserve"> 24.12.2024 г. № 146р</w:t>
      </w:r>
      <w:r>
        <w:rPr>
          <w:rFonts w:eastAsia="Times New Roman" w:cs="Times New Roman" w:ascii="Times New Roman" w:hAnsi="Times New Roman"/>
          <w:sz w:val="27"/>
          <w:szCs w:val="27"/>
          <w:lang w:eastAsia="ru-RU"/>
        </w:rPr>
        <w:t xml:space="preserve"> «О проведении кон</w:t>
      </w:r>
      <w:bookmarkStart w:id="0" w:name="_GoBack"/>
      <w:bookmarkEnd w:id="0"/>
      <w:r>
        <w:rPr>
          <w:rFonts w:eastAsia="Times New Roman" w:cs="Times New Roman" w:ascii="Times New Roman" w:hAnsi="Times New Roman"/>
          <w:sz w:val="27"/>
          <w:szCs w:val="27"/>
          <w:lang w:eastAsia="ru-RU"/>
        </w:rPr>
        <w:t>трольных мероприятий».</w:t>
      </w:r>
    </w:p>
    <w:p>
      <w:pPr>
        <w:pStyle w:val="NoSpacing"/>
        <w:suppressAutoHyphens w:val="false"/>
        <w:ind w:firstLine="709"/>
        <w:jc w:val="both"/>
        <w:rPr>
          <w:rFonts w:ascii="Times New Roman" w:hAnsi="Times New Roman" w:cs="Times New Roman"/>
          <w:sz w:val="27"/>
          <w:szCs w:val="27"/>
        </w:rPr>
      </w:pPr>
      <w:r>
        <w:rPr>
          <w:rFonts w:cs="Times New Roman" w:ascii="Times New Roman" w:hAnsi="Times New Roman"/>
          <w:sz w:val="27"/>
          <w:szCs w:val="27"/>
        </w:rPr>
        <w:t xml:space="preserve">Тема контрольного мероприятия: </w:t>
      </w:r>
      <w:r>
        <w:rPr>
          <w:rStyle w:val="Style17"/>
          <w:rFonts w:cs="Times New Roman" w:ascii="Times New Roman" w:hAnsi="Times New Roman"/>
          <w:sz w:val="27"/>
          <w:szCs w:val="27"/>
          <w:shd w:fill="auto" w:val="clear"/>
          <w:lang w:eastAsia="en-US"/>
        </w:rPr>
        <w:t>проверка предоставления и использования субсидий, предоставленных из бюджета МО г. Горячий Ключ, и их отражения в бухгалтерском учете и бухгалтерской (финансовой) отчетности</w:t>
      </w:r>
      <w:r>
        <w:rPr>
          <w:rStyle w:val="Style14"/>
          <w:rFonts w:cs="Times New Roman" w:ascii="Times New Roman" w:hAnsi="Times New Roman"/>
          <w:color w:val="000000"/>
          <w:sz w:val="27"/>
          <w:szCs w:val="27"/>
          <w:u w:val="none"/>
          <w:shd w:fill="auto" w:val="clear"/>
        </w:rPr>
        <w:t>;</w:t>
      </w:r>
    </w:p>
    <w:p>
      <w:pPr>
        <w:pStyle w:val="NoSpacing"/>
        <w:suppressAutoHyphens w:val="false"/>
        <w:ind w:firstLine="709"/>
        <w:jc w:val="both"/>
        <w:rPr/>
      </w:pPr>
      <w:r>
        <w:rPr>
          <w:rStyle w:val="Style14"/>
          <w:rFonts w:eastAsia="Calibri" w:cs="Times New Roman" w:ascii="Times New Roman" w:hAnsi="Times New Roman"/>
          <w:color w:val="000000"/>
          <w:sz w:val="27"/>
          <w:szCs w:val="27"/>
          <w:u w:val="none"/>
          <w:shd w:fill="auto" w:val="clear"/>
        </w:rPr>
        <w:t>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w:t>
      </w:r>
    </w:p>
    <w:p>
      <w:pPr>
        <w:pStyle w:val="Normal"/>
        <w:spacing w:lineRule="auto" w:line="240" w:before="0" w:after="0"/>
        <w:jc w:val="both"/>
        <w:textAlignment w:val="baseline"/>
        <w:rPr>
          <w:rFonts w:ascii="Calibri" w:hAnsi="Calibri" w:eastAsia="Calibri" w:cs="Calibri"/>
          <w:sz w:val="27"/>
          <w:szCs w:val="27"/>
        </w:rPr>
      </w:pPr>
      <w:r>
        <w:rPr>
          <w:rFonts w:eastAsia="Times New Roman" w:cs="Times New Roman" w:ascii="Times New Roman" w:hAnsi="Times New Roman"/>
          <w:sz w:val="27"/>
          <w:szCs w:val="27"/>
        </w:rPr>
        <w:tab/>
        <w:t>Проверяемый период: с 1 января 2024 г. по 31 декабря 2024 г., истекший период 2025 г.</w:t>
      </w:r>
    </w:p>
    <w:p>
      <w:pPr>
        <w:pStyle w:val="Normal"/>
        <w:widowControl w:val="false"/>
        <w:spacing w:lineRule="auto" w:line="240" w:before="0" w:after="0"/>
        <w:ind w:firstLine="720"/>
        <w:jc w:val="both"/>
        <w:textAlignment w:val="baseline"/>
        <w:rPr>
          <w:rFonts w:ascii="Times New Roman" w:hAnsi="Times New Roman" w:eastAsia="Times New Roman" w:cs="Times New Roman"/>
          <w:sz w:val="27"/>
          <w:szCs w:val="27"/>
          <w:lang w:eastAsia="ru-RU"/>
        </w:rPr>
      </w:pPr>
      <w:r>
        <w:rPr>
          <w:rFonts w:eastAsia="Times New Roman" w:cs="Times New Roman" w:ascii="Times New Roman" w:hAnsi="Times New Roman"/>
          <w:sz w:val="27"/>
          <w:szCs w:val="27"/>
          <w:lang w:eastAsia="ru-RU"/>
        </w:rPr>
        <w:t>Акты проверок от 30.09.2025 г.</w:t>
      </w:r>
    </w:p>
    <w:p>
      <w:pPr>
        <w:pStyle w:val="Normal"/>
        <w:suppressAutoHyphens w:val="false"/>
        <w:spacing w:lineRule="auto" w:line="240" w:before="0" w:after="0"/>
        <w:ind w:left="0" w:right="0" w:hanging="0"/>
        <w:jc w:val="both"/>
        <w:rPr>
          <w:sz w:val="26"/>
          <w:szCs w:val="26"/>
        </w:rPr>
      </w:pPr>
      <w:r>
        <w:rPr>
          <w:rFonts w:cs="Times New Roman" w:ascii="Times New Roman" w:hAnsi="Times New Roman"/>
          <w:b w:val="false"/>
          <w:bCs w:val="false"/>
          <w:i w:val="false"/>
          <w:caps w:val="false"/>
          <w:smallCaps w:val="false"/>
          <w:color w:val="000000"/>
          <w:spacing w:val="0"/>
          <w:sz w:val="26"/>
          <w:szCs w:val="26"/>
        </w:rPr>
        <w:tab/>
        <w:t>В результате ревизии финансово-хозяйственной деятельности установлены нарушения правовых актов, регулирующих бюджетные правоотношения, в том числе устанавливающих требования к бухгалтерскому учету, составлению и представлению бухгалтерской (финансовой) отчетности; правовых актов, обусловливающих публичные нормативные обязательства; достоверности отчета об исполнении муниципального задания:</w:t>
      </w:r>
    </w:p>
    <w:p>
      <w:pPr>
        <w:pStyle w:val="NoSpacing"/>
        <w:tabs>
          <w:tab w:val="clear" w:pos="708"/>
          <w:tab w:val="left" w:pos="0" w:leader="none"/>
          <w:tab w:val="left" w:pos="709" w:leader="none"/>
        </w:tabs>
        <w:suppressAutoHyphens w:val="false"/>
        <w:spacing w:lineRule="auto" w:line="240" w:before="0" w:after="0"/>
        <w:ind w:left="0" w:right="0" w:hanging="0"/>
        <w:jc w:val="both"/>
        <w:rPr>
          <w:sz w:val="26"/>
          <w:szCs w:val="26"/>
        </w:rPr>
      </w:pPr>
      <w:r>
        <w:rPr>
          <w:rFonts w:cs="Times New Roman" w:ascii="Times New Roman" w:hAnsi="Times New Roman"/>
          <w:b w:val="false"/>
          <w:bCs w:val="false"/>
          <w:i w:val="false"/>
          <w:caps w:val="false"/>
          <w:smallCaps w:val="false"/>
          <w:color w:val="000000"/>
          <w:spacing w:val="0"/>
          <w:sz w:val="26"/>
          <w:szCs w:val="26"/>
        </w:rPr>
        <w:tab/>
        <w:t>ч. 2, ч. 3, ч. 7 ст. 9, ст. 11 , ч. 1 ст. 13 Федерального закона от 06.12.2011 г. № 402-ФЗ «О бухгалтерском учете»;</w:t>
      </w:r>
    </w:p>
    <w:p>
      <w:pPr>
        <w:pStyle w:val="NoSpacing"/>
        <w:suppressAutoHyphens w:val="false"/>
        <w:spacing w:lineRule="auto" w:line="240" w:before="0" w:after="0"/>
        <w:ind w:left="0" w:right="0" w:hanging="0"/>
        <w:jc w:val="both"/>
        <w:rPr/>
      </w:pPr>
      <w:r>
        <w:rPr>
          <w:rStyle w:val="Style14"/>
          <w:rFonts w:cs="Times New Roman" w:ascii="Times New Roman" w:hAnsi="Times New Roman"/>
          <w:color w:val="auto"/>
          <w:sz w:val="26"/>
          <w:szCs w:val="26"/>
          <w:u w:val="none"/>
        </w:rPr>
        <w:tab/>
        <w:t>п. 10.2.5, 11.1 Порядка применения классификации операций сектора государственного управления, утвержденного приказом Минфина РФ от 29.11.2017 г. № 209н;</w:t>
      </w:r>
    </w:p>
    <w:p>
      <w:pPr>
        <w:pStyle w:val="NoSpacing"/>
        <w:suppressAutoHyphens w:val="false"/>
        <w:spacing w:lineRule="auto" w:line="240" w:before="0" w:after="0"/>
        <w:ind w:left="0" w:right="0" w:hanging="0"/>
        <w:jc w:val="both"/>
        <w:rPr/>
      </w:pPr>
      <w:r>
        <w:rPr>
          <w:rStyle w:val="Style14"/>
          <w:rFonts w:cs="Times New Roman" w:ascii="Times New Roman" w:hAnsi="Times New Roman"/>
          <w:color w:val="auto"/>
          <w:sz w:val="26"/>
          <w:szCs w:val="26"/>
          <w:u w:val="none"/>
        </w:rPr>
        <w:tab/>
        <w:t xml:space="preserve"> </w:t>
      </w:r>
      <w:r>
        <w:rPr>
          <w:rStyle w:val="Style14"/>
          <w:rFonts w:cs="Times New Roman" w:ascii="Times New Roman" w:hAnsi="Times New Roman"/>
          <w:b w:val="false"/>
          <w:bCs w:val="false"/>
          <w:i w:val="false"/>
          <w:caps w:val="false"/>
          <w:smallCaps w:val="false"/>
          <w:color w:val="1A1A1A"/>
          <w:spacing w:val="0"/>
          <w:sz w:val="26"/>
          <w:szCs w:val="26"/>
          <w:u w:val="none"/>
        </w:rPr>
        <w:t>п. 9, 48, 53, 57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Минфина РФ от 25.03.2011 г. № 33н;</w:t>
      </w:r>
    </w:p>
    <w:p>
      <w:pPr>
        <w:pStyle w:val="NoSpacing"/>
        <w:suppressAutoHyphens w:val="false"/>
        <w:spacing w:lineRule="auto" w:line="240" w:before="0" w:after="0"/>
        <w:ind w:left="0" w:right="0" w:hanging="0"/>
        <w:jc w:val="both"/>
        <w:rPr/>
      </w:pPr>
      <w:r>
        <w:rPr>
          <w:rFonts w:cs="Times New Roman" w:ascii="Times New Roman" w:hAnsi="Times New Roman"/>
          <w:sz w:val="26"/>
          <w:szCs w:val="26"/>
        </w:rPr>
        <w:tab/>
        <w:t>п. 27, 79 Ф</w:t>
      </w:r>
      <w:r>
        <w:rPr>
          <w:rFonts w:cs="Times New Roman" w:ascii="Times New Roman" w:hAnsi="Times New Roman"/>
          <w:b w:val="false"/>
          <w:i w:val="false"/>
          <w:caps w:val="false"/>
          <w:smallCaps w:val="false"/>
          <w:color w:val="000000"/>
          <w:spacing w:val="0"/>
          <w:sz w:val="27"/>
          <w:szCs w:val="27"/>
        </w:rPr>
        <w:t xml:space="preserve">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w:t>
      </w:r>
      <w:r>
        <w:rPr>
          <w:rFonts w:cs="Times New Roman" w:ascii="Times New Roman" w:hAnsi="Times New Roman"/>
          <w:color w:val="000000"/>
          <w:sz w:val="26"/>
          <w:szCs w:val="26"/>
        </w:rPr>
        <w:t>п</w:t>
      </w:r>
      <w:r>
        <w:rPr>
          <w:rStyle w:val="Style15"/>
          <w:rFonts w:cs="Times New Roman" w:ascii="Times New Roman" w:hAnsi="Times New Roman"/>
          <w:b w:val="false"/>
          <w:i w:val="false"/>
          <w:caps w:val="false"/>
          <w:smallCaps w:val="false"/>
          <w:color w:val="000000"/>
          <w:spacing w:val="0"/>
          <w:sz w:val="27"/>
          <w:szCs w:val="27"/>
          <w:shd w:fill="FFFFFF" w:val="clear"/>
        </w:rPr>
        <w:t>риказом Минфина</w:t>
      </w:r>
      <w:r>
        <w:rPr>
          <w:rFonts w:cs="Times New Roman" w:ascii="Times New Roman" w:hAnsi="Times New Roman"/>
          <w:caps w:val="false"/>
          <w:smallCaps w:val="false"/>
          <w:color w:val="000000"/>
          <w:spacing w:val="0"/>
          <w:sz w:val="27"/>
          <w:szCs w:val="27"/>
          <w:shd w:fill="FFFFFF" w:val="clear"/>
        </w:rPr>
        <w:t> </w:t>
      </w:r>
      <w:r>
        <w:rPr>
          <w:rStyle w:val="Style15"/>
          <w:rFonts w:cs="Times New Roman" w:ascii="Times New Roman" w:hAnsi="Times New Roman"/>
          <w:b w:val="false"/>
          <w:i w:val="false"/>
          <w:caps w:val="false"/>
          <w:smallCaps w:val="false"/>
          <w:color w:val="000000"/>
          <w:spacing w:val="0"/>
          <w:sz w:val="27"/>
          <w:szCs w:val="27"/>
          <w:shd w:fill="FFFFFF" w:val="clear"/>
        </w:rPr>
        <w:t>России</w:t>
      </w:r>
      <w:r>
        <w:rPr>
          <w:rFonts w:cs="Times New Roman" w:ascii="Times New Roman" w:hAnsi="Times New Roman"/>
          <w:caps w:val="false"/>
          <w:smallCaps w:val="false"/>
          <w:color w:val="000000"/>
          <w:spacing w:val="0"/>
          <w:sz w:val="27"/>
          <w:szCs w:val="27"/>
          <w:shd w:fill="FFFFFF" w:val="clear"/>
        </w:rPr>
        <w:t> </w:t>
      </w:r>
      <w:r>
        <w:rPr>
          <w:rFonts w:cs="Times New Roman" w:ascii="Times New Roman" w:hAnsi="Times New Roman"/>
          <w:b w:val="false"/>
          <w:i w:val="false"/>
          <w:caps w:val="false"/>
          <w:smallCaps w:val="false"/>
          <w:color w:val="000000"/>
          <w:spacing w:val="0"/>
          <w:sz w:val="27"/>
          <w:szCs w:val="27"/>
          <w:shd w:fill="FFFFFF" w:val="clear"/>
        </w:rPr>
        <w:t xml:space="preserve">от 31.12. 2016 г. № </w:t>
      </w:r>
      <w:r>
        <w:rPr>
          <w:rStyle w:val="Style15"/>
          <w:rFonts w:cs="Times New Roman" w:ascii="Times New Roman" w:hAnsi="Times New Roman"/>
          <w:b w:val="false"/>
          <w:i w:val="false"/>
          <w:caps w:val="false"/>
          <w:smallCaps w:val="false"/>
          <w:color w:val="000000"/>
          <w:spacing w:val="0"/>
          <w:sz w:val="27"/>
          <w:szCs w:val="27"/>
          <w:shd w:fill="FFFFFF" w:val="clear"/>
        </w:rPr>
        <w:t xml:space="preserve">256н; </w:t>
      </w:r>
    </w:p>
    <w:p>
      <w:pPr>
        <w:pStyle w:val="NoSpacing"/>
        <w:suppressAutoHyphens w:val="false"/>
        <w:spacing w:lineRule="auto" w:line="240" w:before="0" w:after="0"/>
        <w:ind w:left="0" w:right="0" w:hanging="0"/>
        <w:jc w:val="both"/>
        <w:rPr>
          <w:rFonts w:ascii="Times New Roman" w:hAnsi="Times New Roman" w:cs="Times New Roman"/>
          <w:sz w:val="26"/>
          <w:szCs w:val="26"/>
        </w:rPr>
      </w:pPr>
      <w:r>
        <w:rPr>
          <w:rFonts w:cs="Times New Roman" w:ascii="Times New Roman" w:hAnsi="Times New Roman"/>
          <w:sz w:val="26"/>
          <w:szCs w:val="26"/>
        </w:rPr>
        <w:tab/>
        <w:t>Методических указаний по инвентаризации имущества и финансовых обязательств, утвержденных приказом Минфина РФ от 13.06.1995 г. № 49;</w:t>
      </w:r>
    </w:p>
    <w:p>
      <w:pPr>
        <w:pStyle w:val="NoSpacing"/>
        <w:suppressAutoHyphens w:val="false"/>
        <w:spacing w:lineRule="auto" w:line="240" w:before="0" w:after="0"/>
        <w:ind w:left="0" w:right="0" w:hanging="0"/>
        <w:jc w:val="both"/>
        <w:rPr>
          <w:rFonts w:ascii="Times New Roman" w:hAnsi="Times New Roman" w:cs="Times New Roman"/>
          <w:sz w:val="26"/>
          <w:szCs w:val="26"/>
        </w:rPr>
      </w:pPr>
      <w:r>
        <w:rPr>
          <w:rFonts w:cs="Times New Roman" w:ascii="Times New Roman" w:hAnsi="Times New Roman"/>
          <w:sz w:val="26"/>
          <w:szCs w:val="26"/>
        </w:rPr>
        <w:tab/>
        <w:t>п. 38, 39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г. № 157-н  и Общероссийского классификатора основных фондов ОК013-94, ОК013-2014 (СНС 2008);</w:t>
      </w:r>
    </w:p>
    <w:p>
      <w:pPr>
        <w:pStyle w:val="NoSpacing"/>
        <w:tabs>
          <w:tab w:val="clear" w:pos="708"/>
          <w:tab w:val="left" w:pos="0" w:leader="none"/>
          <w:tab w:val="left" w:pos="709" w:leader="none"/>
        </w:tabs>
        <w:suppressAutoHyphens w:val="false"/>
        <w:spacing w:lineRule="auto" w:line="240" w:before="0" w:after="0"/>
        <w:ind w:left="0" w:right="0" w:hanging="0"/>
        <w:jc w:val="both"/>
        <w:rPr>
          <w:sz w:val="26"/>
          <w:szCs w:val="26"/>
        </w:rPr>
      </w:pPr>
      <w:r>
        <w:rPr>
          <w:rFonts w:cs="Times New Roman" w:ascii="Times New Roman" w:hAnsi="Times New Roman"/>
          <w:b w:val="false"/>
          <w:bCs w:val="false"/>
          <w:sz w:val="26"/>
          <w:szCs w:val="26"/>
        </w:rPr>
        <w:tab/>
        <w:t>постановления Госкомстата РФ от 05.01.2004 г. № 1 «Об утверждении унифицированных форм первичной учетной документации по учету труда и его оплаты»;</w:t>
      </w:r>
    </w:p>
    <w:p>
      <w:pPr>
        <w:pStyle w:val="NoSpacing"/>
        <w:tabs>
          <w:tab w:val="clear" w:pos="708"/>
          <w:tab w:val="left" w:pos="0" w:leader="none"/>
          <w:tab w:val="left" w:pos="709" w:leader="none"/>
        </w:tabs>
        <w:suppressAutoHyphens w:val="false"/>
        <w:spacing w:lineRule="auto" w:line="240" w:before="0" w:after="0"/>
        <w:ind w:left="0" w:right="0" w:hanging="0"/>
        <w:jc w:val="both"/>
        <w:rPr>
          <w:sz w:val="26"/>
          <w:szCs w:val="26"/>
        </w:rPr>
      </w:pPr>
      <w:r>
        <w:rPr>
          <w:rFonts w:cs="Times New Roman" w:ascii="Times New Roman" w:hAnsi="Times New Roman"/>
          <w:b w:val="false"/>
          <w:bCs w:val="false"/>
          <w:i w:val="false"/>
          <w:strike w:val="false"/>
          <w:dstrike w:val="false"/>
          <w:outline w:val="false"/>
          <w:shadow w:val="false"/>
          <w:color w:val="000000"/>
          <w:sz w:val="26"/>
          <w:szCs w:val="26"/>
          <w:u w:val="none"/>
          <w:shd w:fill="auto" w:val="clear"/>
          <w:em w:val="none"/>
        </w:rPr>
        <w:tab/>
        <w:t xml:space="preserve">п. 4, 7 Порядка обращения за компенсацией части родительской платы за присмотр и уход за детьми, посещающими образовательные организации Краснодарского края, реализующие образовательную программу дошкольного образования, и ее выплаты», утвержденного </w:t>
      </w:r>
      <w:r>
        <w:rPr>
          <w:rStyle w:val="Style14"/>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6"/>
          <w:szCs w:val="26"/>
          <w:u w:val="none"/>
          <w:shd w:fill="auto" w:val="clear"/>
        </w:rPr>
        <w:t>постановлением губернатора Краснодарского края от 12.12.2013 г. № 1460;</w:t>
      </w:r>
      <w:r>
        <w:rPr>
          <w:rFonts w:cs="Times New Roman" w:ascii="Times New Roman" w:hAnsi="Times New Roman"/>
          <w:b w:val="false"/>
          <w:bCs w:val="false"/>
          <w:sz w:val="26"/>
          <w:szCs w:val="26"/>
        </w:rPr>
        <w:tab/>
      </w:r>
    </w:p>
    <w:p>
      <w:pPr>
        <w:pStyle w:val="NoSpacing"/>
        <w:tabs>
          <w:tab w:val="clear" w:pos="708"/>
          <w:tab w:val="left" w:pos="0" w:leader="none"/>
          <w:tab w:val="left" w:pos="709" w:leader="none"/>
        </w:tabs>
        <w:suppressAutoHyphens w:val="false"/>
        <w:spacing w:lineRule="auto" w:line="240" w:before="0" w:after="0"/>
        <w:ind w:left="0" w:right="0" w:hanging="0"/>
        <w:jc w:val="both"/>
        <w:rPr/>
      </w:pPr>
      <w:r>
        <w:rPr>
          <w:rStyle w:val="Style14"/>
          <w:rFonts w:cs="Times New Roman" w:ascii="Times New Roman" w:hAnsi="Times New Roman"/>
          <w:b w:val="false"/>
          <w:bCs w:val="false"/>
          <w:color w:val="000000"/>
          <w:sz w:val="26"/>
          <w:szCs w:val="26"/>
          <w:u w:val="none"/>
        </w:rPr>
        <w:tab/>
      </w:r>
      <w:r>
        <w:rPr>
          <w:rStyle w:val="Style14"/>
          <w:rFonts w:cs="Times New Roman" w:ascii="Times New Roman" w:hAnsi="Times New Roman"/>
          <w:color w:val="000000"/>
          <w:sz w:val="26"/>
          <w:szCs w:val="26"/>
          <w:u w:val="none"/>
        </w:rPr>
        <w:t>п. 4, 3</w:t>
      </w:r>
      <w:r>
        <w:rPr>
          <w:rStyle w:val="Style14"/>
          <w:rFonts w:cs="Times New Roman" w:ascii="Times New Roman" w:hAnsi="Times New Roman"/>
          <w:color w:val="auto"/>
          <w:sz w:val="26"/>
          <w:szCs w:val="26"/>
          <w:u w:val="none"/>
        </w:rPr>
        <w:t>9</w:t>
      </w:r>
      <w:r>
        <w:rPr>
          <w:rStyle w:val="Style14"/>
          <w:rFonts w:cs="Times New Roman" w:ascii="Times New Roman" w:hAnsi="Times New Roman"/>
          <w:color w:val="000000"/>
          <w:sz w:val="26"/>
          <w:szCs w:val="26"/>
          <w:u w:val="none"/>
        </w:rPr>
        <w:t xml:space="preserve"> Положения о о формировании муниципального задания на оказание муни</w:t>
      </w:r>
      <w:r>
        <w:rPr>
          <w:rStyle w:val="Style14"/>
          <w:rFonts w:cs="Times New Roman" w:ascii="Times New Roman" w:hAnsi="Times New Roman"/>
          <w:color w:val="auto"/>
          <w:sz w:val="26"/>
          <w:szCs w:val="26"/>
          <w:u w:val="none"/>
        </w:rPr>
        <w:t>ципальных услуг (выполнения работ) в отношении муниципальных учреждений муниципального образования город Горячий Ключ и финансовом обеспечении выполнения муниципального задания, утвержденного постановлением администрации муниципального образования город Горячий Ключ от 08.10.2015 г.  № 2017;</w:t>
      </w:r>
    </w:p>
    <w:p>
      <w:pPr>
        <w:pStyle w:val="NoSpacing"/>
        <w:suppressAutoHyphens w:val="false"/>
        <w:spacing w:lineRule="auto" w:line="240" w:before="0" w:after="0"/>
        <w:ind w:left="0" w:right="0" w:hanging="0"/>
        <w:jc w:val="both"/>
        <w:rPr>
          <w:sz w:val="26"/>
          <w:szCs w:val="26"/>
        </w:rPr>
      </w:pPr>
      <w:r>
        <w:rPr>
          <w:rFonts w:cs="Times New Roman" w:ascii="Times New Roman" w:hAnsi="Times New Roman"/>
          <w:sz w:val="26"/>
          <w:szCs w:val="26"/>
        </w:rPr>
        <w:tab/>
        <w:t>п. 15б Порядка составления и утверждения плана финансово-хозяйственной деятельности муниципальных бюджетных и автономных учреждений муниципального образования город Горячий Ключ, утвержденного постановлением администрации муниципального образования город Горячий Ключ от 20.12.2022 г. № 2385, приложения 1 к указанному Порядку;</w:t>
      </w:r>
    </w:p>
    <w:p>
      <w:pPr>
        <w:pStyle w:val="NoSpacing"/>
        <w:suppressAutoHyphens w:val="false"/>
        <w:spacing w:lineRule="auto" w:line="240" w:before="0" w:after="0"/>
        <w:ind w:left="0" w:right="0" w:hanging="0"/>
        <w:jc w:val="both"/>
        <w:rPr>
          <w:sz w:val="26"/>
          <w:szCs w:val="26"/>
        </w:rPr>
      </w:pPr>
      <w:r>
        <w:rPr>
          <w:rFonts w:cs="Times New Roman" w:ascii="Times New Roman" w:hAnsi="Times New Roman"/>
          <w:sz w:val="26"/>
          <w:szCs w:val="26"/>
        </w:rPr>
        <w:tab/>
      </w:r>
      <w:r>
        <w:rPr>
          <w:rFonts w:cs="Times New Roman" w:ascii="Times New Roman" w:hAnsi="Times New Roman"/>
          <w:sz w:val="26"/>
          <w:szCs w:val="26"/>
          <w:shd w:fill="auto" w:val="clear"/>
        </w:rPr>
        <w:t xml:space="preserve">п. </w:t>
      </w:r>
      <w:r>
        <w:rPr>
          <w:rFonts w:eastAsia="Calibri" w:cs="Times New Roman" w:ascii="Times New Roman" w:hAnsi="Times New Roman" w:eastAsiaTheme="minorHAnsi"/>
          <w:color w:val="000000"/>
          <w:kern w:val="0"/>
          <w:sz w:val="26"/>
          <w:szCs w:val="26"/>
          <w:shd w:fill="auto" w:val="clear"/>
          <w:lang w:val="ru-RU" w:eastAsia="en-US" w:bidi="ar-SA"/>
        </w:rPr>
        <w:t>15</w:t>
      </w:r>
      <w:r>
        <w:rPr>
          <w:rFonts w:cs="Times New Roman" w:ascii="Times New Roman" w:hAnsi="Times New Roman"/>
          <w:sz w:val="26"/>
          <w:szCs w:val="26"/>
          <w:shd w:fill="auto" w:val="clear"/>
        </w:rPr>
        <w:t xml:space="preserve"> </w:t>
      </w:r>
      <w:r>
        <w:rPr>
          <w:rStyle w:val="Style14"/>
          <w:rFonts w:eastAsia="Calibri" w:cs="Times New Roman" w:ascii="Times New Roman" w:hAnsi="Times New Roman" w:eastAsiaTheme="minorHAnsi"/>
          <w:color w:val="000000"/>
          <w:kern w:val="0"/>
          <w:sz w:val="26"/>
          <w:szCs w:val="26"/>
          <w:u w:val="none"/>
          <w:shd w:fill="auto" w:val="clear"/>
          <w:lang w:val="ru-RU" w:eastAsia="en-US" w:bidi="ar-SA"/>
        </w:rPr>
        <w:t>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утвержденного приказом Минфина РФ от 21.07.2011 г. № 86н;</w:t>
      </w:r>
    </w:p>
    <w:p>
      <w:pPr>
        <w:pStyle w:val="NoSpacing"/>
        <w:tabs>
          <w:tab w:val="clear" w:pos="708"/>
          <w:tab w:val="left" w:pos="0" w:leader="none"/>
          <w:tab w:val="left" w:pos="709" w:leader="none"/>
        </w:tabs>
        <w:suppressAutoHyphens w:val="false"/>
        <w:spacing w:lineRule="auto" w:line="240" w:before="0" w:after="0"/>
        <w:ind w:left="0" w:right="0" w:hanging="0"/>
        <w:jc w:val="both"/>
        <w:rPr>
          <w:shd w:fill="auto" w:val="clear"/>
        </w:rPr>
      </w:pPr>
      <w:r>
        <w:rPr>
          <w:rFonts w:cs="Times New Roman" w:ascii="Times New Roman" w:hAnsi="Times New Roman"/>
          <w:b/>
          <w:bCs/>
          <w:sz w:val="26"/>
          <w:szCs w:val="26"/>
          <w:shd w:fill="auto" w:val="clear"/>
        </w:rPr>
        <w:tab/>
      </w:r>
      <w:r>
        <w:rPr>
          <w:rFonts w:eastAsia="Times New Roman" w:cs="Times New Roman" w:ascii="Times New Roman" w:hAnsi="Times New Roman"/>
          <w:b w:val="false"/>
          <w:bCs w:val="false"/>
          <w:strike w:val="false"/>
          <w:dstrike w:val="false"/>
          <w:color w:val="000000"/>
          <w:sz w:val="26"/>
          <w:szCs w:val="26"/>
          <w:u w:val="none"/>
          <w:shd w:fill="auto" w:val="clear"/>
          <w:lang w:eastAsia="ru-RU"/>
        </w:rPr>
        <w:t>п. 2.2, 3.3 приложения 2 к Порядку организации питания в дошкольных образовательных организациях муниципального образования г. Горячий Ключ, утвержденного приказом управления образования от 17.06.2022 г.  № 248;</w:t>
      </w:r>
    </w:p>
    <w:p>
      <w:pPr>
        <w:pStyle w:val="NoSpacing"/>
        <w:tabs>
          <w:tab w:val="clear" w:pos="708"/>
          <w:tab w:val="left" w:pos="0" w:leader="none"/>
          <w:tab w:val="left" w:pos="709" w:leader="none"/>
        </w:tabs>
        <w:suppressAutoHyphens w:val="false"/>
        <w:spacing w:lineRule="auto" w:line="240" w:before="0" w:after="0"/>
        <w:ind w:left="0" w:right="0" w:hanging="0"/>
        <w:jc w:val="both"/>
        <w:rPr>
          <w:shd w:fill="auto" w:val="clear"/>
        </w:rPr>
      </w:pPr>
      <w:r>
        <w:rPr>
          <w:rFonts w:eastAsia="Times New Roman" w:cs="Times New Roman" w:ascii="Times New Roman" w:hAnsi="Times New Roman"/>
          <w:b w:val="false"/>
          <w:bCs w:val="false"/>
          <w:strike w:val="false"/>
          <w:dstrike w:val="false"/>
          <w:color w:val="000000"/>
          <w:sz w:val="26"/>
          <w:szCs w:val="26"/>
          <w:u w:val="none"/>
          <w:shd w:fill="auto" w:val="clear"/>
          <w:lang w:eastAsia="ru-RU"/>
        </w:rPr>
        <w:tab/>
        <w:t xml:space="preserve">п. 8 Порядка предоставления мер социальной поддержки педагогическим работникам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 по оплате жилых помещений, отопления и освещения, утвержденного постановлением главы администрации (губернатора) Краснодарского края от 11 мая 2011 г. № 475; </w:t>
      </w:r>
    </w:p>
    <w:p>
      <w:pPr>
        <w:pStyle w:val="Style23"/>
        <w:widowControl w:val="false"/>
        <w:tabs>
          <w:tab w:val="clear" w:pos="708"/>
          <w:tab w:val="left" w:pos="0" w:leader="none"/>
          <w:tab w:val="left" w:pos="709" w:leader="none"/>
        </w:tabs>
        <w:suppressAutoHyphens w:val="false"/>
        <w:spacing w:lineRule="auto" w:line="240" w:before="0" w:after="0"/>
        <w:ind w:left="0" w:right="0" w:hanging="0"/>
        <w:jc w:val="both"/>
        <w:textAlignment w:val="baseline"/>
        <w:rPr>
          <w:shd w:fill="FFFF00" w:val="clear"/>
        </w:rPr>
      </w:pPr>
      <w:r>
        <w:rPr>
          <w:rStyle w:val="Style17"/>
          <w:rFonts w:eastAsia="Times New Roman" w:cs="Times New Roman" w:ascii="Times New Roman" w:hAnsi="Times New Roman"/>
          <w:b w:val="false"/>
          <w:bCs w:val="false"/>
          <w:strike w:val="false"/>
          <w:dstrike w:val="false"/>
          <w:color w:val="000000"/>
          <w:sz w:val="26"/>
          <w:szCs w:val="26"/>
          <w:u w:val="none"/>
          <w:shd w:fill="auto" w:val="clear"/>
          <w:lang w:eastAsia="ru-RU"/>
        </w:rPr>
        <w:tab/>
        <w:t xml:space="preserve">п. 2 постановления администрации муниципального образования город Горячий Ключ от 15.11.2010 г. № 3246 «Об определении видов особо ценного движимого имущества и установление порядка отнесения имущества муниципального автономного или бюджетного учреждения к категории особо ценного движимого имущества». </w:t>
      </w:r>
    </w:p>
    <w:p>
      <w:pPr>
        <w:pStyle w:val="Style23"/>
        <w:widowControl w:val="false"/>
        <w:tabs>
          <w:tab w:val="clear" w:pos="708"/>
          <w:tab w:val="left" w:pos="0" w:leader="none"/>
          <w:tab w:val="left" w:pos="709" w:leader="none"/>
        </w:tabs>
        <w:suppressAutoHyphens w:val="false"/>
        <w:spacing w:lineRule="auto" w:line="240" w:before="0" w:after="0"/>
        <w:ind w:left="0" w:right="0" w:hanging="0"/>
        <w:jc w:val="both"/>
        <w:textAlignment w:val="baseline"/>
        <w:rPr>
          <w:shd w:fill="FFFF00" w:val="clear"/>
        </w:rPr>
      </w:pPr>
      <w:r>
        <w:rPr>
          <w:rStyle w:val="Style17"/>
          <w:rFonts w:eastAsia="Times New Roman" w:cs="Times New Roman" w:ascii="Times New Roman" w:hAnsi="Times New Roman"/>
          <w:b w:val="false"/>
          <w:bCs w:val="false"/>
          <w:strike w:val="false"/>
          <w:dstrike w:val="false"/>
          <w:color w:val="000000"/>
          <w:sz w:val="26"/>
          <w:szCs w:val="26"/>
          <w:u w:val="none"/>
          <w:shd w:fill="auto" w:val="clear"/>
          <w:lang w:val="ru-RU" w:eastAsia="ru-RU"/>
        </w:rPr>
        <w:tab/>
      </w:r>
      <w:r>
        <w:rPr>
          <w:rStyle w:val="Style14"/>
          <w:rFonts w:cs="Times New Roman" w:ascii="Times New Roman" w:hAnsi="Times New Roman"/>
          <w:color w:val="000000"/>
          <w:sz w:val="26"/>
          <w:szCs w:val="26"/>
          <w:u w:val="none"/>
          <w:shd w:fill="auto" w:val="clear"/>
          <w:lang w:val="ru-RU"/>
        </w:rPr>
        <w:t>Проверкой организации закупок товаров, работ, услуг для обеспечения государственных и муниципальных нужд установлены нарушения:</w:t>
      </w:r>
    </w:p>
    <w:p>
      <w:pPr>
        <w:pStyle w:val="NoSpacing"/>
        <w:suppressAutoHyphens w:val="false"/>
        <w:spacing w:lineRule="auto" w:line="240"/>
        <w:ind w:left="0" w:right="0" w:firstLine="708"/>
        <w:jc w:val="both"/>
        <w:rPr>
          <w:rFonts w:ascii="Times New Roman" w:hAnsi="Times New Roman" w:cs="Times New Roman"/>
          <w:sz w:val="26"/>
          <w:szCs w:val="26"/>
        </w:rPr>
      </w:pPr>
      <w:r>
        <w:rPr>
          <w:rFonts w:cs="Times New Roman" w:ascii="Times New Roman" w:hAnsi="Times New Roman"/>
          <w:b w:val="false"/>
          <w:i w:val="false"/>
          <w:caps w:val="false"/>
          <w:smallCaps w:val="false"/>
          <w:color w:val="000000"/>
          <w:spacing w:val="0"/>
          <w:sz w:val="26"/>
          <w:szCs w:val="26"/>
          <w:shd w:fill="auto" w:val="clear"/>
        </w:rPr>
        <w:t>сроков размещения в единой информационной систем</w:t>
      </w:r>
      <w:r>
        <w:rPr>
          <w:rFonts w:cs="Times New Roman" w:ascii="Times New Roman" w:hAnsi="Times New Roman"/>
          <w:b w:val="false"/>
          <w:i w:val="false"/>
          <w:iCs w:val="false"/>
          <w:caps w:val="false"/>
          <w:smallCaps w:val="false"/>
          <w:color w:val="000000"/>
          <w:spacing w:val="0"/>
          <w:sz w:val="26"/>
          <w:szCs w:val="26"/>
          <w:shd w:fill="auto" w:val="clear"/>
        </w:rPr>
        <w:t>е д</w:t>
      </w:r>
      <w:r>
        <w:rPr>
          <w:rFonts w:cs="Times New Roman" w:ascii="Times New Roman" w:hAnsi="Times New Roman"/>
          <w:b w:val="false"/>
          <w:i w:val="false"/>
          <w:caps w:val="false"/>
          <w:smallCaps w:val="false"/>
          <w:color w:val="000000"/>
          <w:spacing w:val="0"/>
          <w:sz w:val="26"/>
          <w:szCs w:val="26"/>
          <w:shd w:fill="auto" w:val="clear"/>
        </w:rPr>
        <w:t xml:space="preserve">окументов по исполнению контрактов, заключенных по результатам подведения итогов электронных аукционов, </w:t>
      </w:r>
      <w:r>
        <w:rPr>
          <w:rFonts w:cs="Times New Roman" w:ascii="Times New Roman" w:hAnsi="Times New Roman"/>
          <w:b w:val="false"/>
          <w:i w:val="false"/>
          <w:iCs w:val="false"/>
          <w:caps w:val="false"/>
          <w:smallCaps w:val="false"/>
          <w:color w:val="000000"/>
          <w:spacing w:val="0"/>
          <w:sz w:val="26"/>
          <w:szCs w:val="26"/>
          <w:shd w:fill="auto" w:val="clear"/>
        </w:rPr>
        <w:t xml:space="preserve">установленных </w:t>
      </w:r>
      <w:r>
        <w:rPr>
          <w:rStyle w:val="Style17"/>
          <w:rFonts w:cs="Times New Roman" w:ascii="Times New Roman" w:hAnsi="Times New Roman"/>
          <w:b w:val="false"/>
          <w:i w:val="false"/>
          <w:iCs w:val="false"/>
          <w:caps w:val="false"/>
          <w:smallCaps w:val="false"/>
          <w:color w:val="000000"/>
          <w:spacing w:val="0"/>
          <w:sz w:val="26"/>
          <w:szCs w:val="26"/>
          <w:shd w:fill="auto" w:val="clear"/>
        </w:rPr>
        <w:t>ч. 3 ст. 103 Закона 44-ФЗ, по контрактам от 25.12.2023 г. № 0318300457623000257, от 26.03.2024 г. № 0318300457624000046;</w:t>
      </w:r>
    </w:p>
    <w:p>
      <w:pPr>
        <w:pStyle w:val="Normal"/>
        <w:suppressAutoHyphens w:val="false"/>
        <w:spacing w:lineRule="auto" w:line="240" w:before="0" w:after="0"/>
        <w:ind w:left="0" w:right="0" w:firstLine="705"/>
        <w:jc w:val="both"/>
        <w:rPr/>
      </w:pPr>
      <w:r>
        <w:rPr>
          <w:rFonts w:eastAsia="Times New Roman" w:cs="Times New Roman" w:ascii="Times New Roman" w:hAnsi="Times New Roman"/>
          <w:b w:val="false"/>
          <w:bCs w:val="false"/>
          <w:i w:val="false"/>
          <w:caps w:val="false"/>
          <w:smallCaps w:val="false"/>
          <w:color w:val="000000"/>
          <w:spacing w:val="0"/>
          <w:sz w:val="26"/>
          <w:szCs w:val="26"/>
          <w:shd w:fill="auto" w:val="clear"/>
          <w:lang w:val="ru-RU" w:eastAsia="ru-RU"/>
        </w:rPr>
        <w:t xml:space="preserve">сроков оплаты по контрактам </w:t>
      </w:r>
      <w:r>
        <w:rPr>
          <w:rStyle w:val="Style17"/>
          <w:rFonts w:eastAsia="Times New Roman" w:cs="Times New Roman" w:ascii="Times New Roman" w:hAnsi="Times New Roman"/>
          <w:b w:val="false"/>
          <w:bCs w:val="false"/>
          <w:i w:val="false"/>
          <w:iCs w:val="false"/>
          <w:caps w:val="false"/>
          <w:smallCaps w:val="false"/>
          <w:color w:val="000000"/>
          <w:spacing w:val="0"/>
          <w:sz w:val="26"/>
          <w:szCs w:val="26"/>
          <w:shd w:fill="auto" w:val="clear"/>
          <w:lang w:val="ru-RU" w:eastAsia="ru-RU"/>
        </w:rPr>
        <w:t>от 25.12.2023 г. № 0318300457623000257, от 26.03.2024 г. № 0318300457624000046, от 25.06.2024 г. № 0318300457624000183, от 18.04.2025 г. № 0318300457625000111, установленных контрактами и ч. 13.1 ст. 34 Закона № 44-ФЗ, которые содержат признаки состава административного правонарушения, ответственность за которое предусмотрен</w:t>
      </w:r>
      <w:r>
        <w:rPr>
          <w:rStyle w:val="Style17"/>
          <w:rFonts w:eastAsia="Times New Roman" w:cs="Times New Roman" w:ascii="Times New Roman" w:hAnsi="Times New Roman"/>
          <w:b w:val="false"/>
          <w:bCs w:val="false"/>
          <w:i w:val="false"/>
          <w:iCs w:val="false"/>
          <w:caps w:val="false"/>
          <w:smallCaps w:val="false"/>
          <w:color w:val="000000"/>
          <w:spacing w:val="0"/>
          <w:sz w:val="26"/>
          <w:szCs w:val="26"/>
          <w:u w:val="none"/>
          <w:shd w:fill="auto" w:val="clear"/>
          <w:lang w:val="ru-RU" w:eastAsia="ru-RU"/>
        </w:rPr>
        <w:t>а ч. 8 ст. 7.30.2 КоАП РФ;</w:t>
      </w:r>
    </w:p>
    <w:p>
      <w:pPr>
        <w:pStyle w:val="NoSpacing"/>
        <w:suppressAutoHyphens w:val="false"/>
        <w:spacing w:lineRule="auto" w:line="240" w:before="0" w:after="0"/>
        <w:ind w:left="0" w:right="0" w:firstLine="708"/>
        <w:jc w:val="both"/>
        <w:rPr/>
      </w:pPr>
      <w:r>
        <w:rPr>
          <w:rStyle w:val="Style17"/>
          <w:rFonts w:eastAsia="Times New Roman" w:cs="Times New Roman" w:ascii="Times New Roman" w:hAnsi="Times New Roman"/>
          <w:b w:val="false"/>
          <w:bCs w:val="false"/>
          <w:i w:val="false"/>
          <w:iCs w:val="false"/>
          <w:caps w:val="false"/>
          <w:smallCaps w:val="false"/>
          <w:color w:val="000000"/>
          <w:spacing w:val="0"/>
          <w:sz w:val="26"/>
          <w:szCs w:val="26"/>
          <w:shd w:fill="auto" w:val="clear"/>
          <w:lang w:val="ru-RU" w:eastAsia="ru-RU"/>
        </w:rPr>
        <w:t>сроков оплаты поставленного товара, оказанной услуги  по контракта (договорам), заключенным на основании п. 4, п. 5 ст. 93 Закона № 44-ФЗ,  от 09.01.2024 г. № 225, от 09.01.2024 г. № 6, от 09.01.2024 г. № Б024-005, от 09.01.2024 г. № 569, от 09.01.2024 г. № 423011012344, от 09.01.2024 г. № б/н, от 12.02.2024 г. № 26, от 03.04.2024 г. № 293, от 19.06.2024 г. № 10327, от 01.07.2024 г. № 11/Д-2024, от 01.07.2024 г. № б/н, от 19.09.2024 г. № б/н, от 01.11.2024 г. № 200-23, от 09.01.2025 г. б/н, от 09.01.2025 г. б/н, от 10.01.2025 г. № 31/25, от 09.01.2025 г. № Б025-005/1, от 03.02.2025 г. № 2500638/001, от 09.01.2025 г. № 23110200360, от 01.02.2025 г. № 11ДС/1;</w:t>
      </w:r>
    </w:p>
    <w:p>
      <w:pPr>
        <w:pStyle w:val="NoSpacing"/>
        <w:suppressAutoHyphens w:val="false"/>
        <w:ind w:left="0" w:right="0" w:firstLine="708"/>
        <w:jc w:val="both"/>
        <w:rPr/>
      </w:pPr>
      <w:r>
        <w:rPr>
          <w:rFonts w:cs="Times New Roman" w:ascii="Times New Roman" w:hAnsi="Times New Roman"/>
          <w:sz w:val="26"/>
          <w:szCs w:val="26"/>
        </w:rPr>
        <w:t xml:space="preserve">порядка изменения существенных условий контракта, установленного </w:t>
      </w:r>
      <w:r>
        <w:rPr>
          <w:rFonts w:cs="Times New Roman" w:ascii="Times New Roman" w:hAnsi="Times New Roman"/>
          <w:bCs/>
          <w:sz w:val="26"/>
          <w:szCs w:val="26"/>
        </w:rPr>
        <w:t xml:space="preserve">п. 1 ч. 1 ст. 95 Закона № 44-ФЗ, </w:t>
      </w:r>
      <w:r>
        <w:rPr>
          <w:rFonts w:cs="Times New Roman" w:ascii="Times New Roman" w:hAnsi="Times New Roman"/>
          <w:sz w:val="26"/>
          <w:szCs w:val="26"/>
        </w:rPr>
        <w:t xml:space="preserve"> дополнительным соглашением № 1 от 01.08.2024 г. к договору на поставку продуктов питания № 2 от 01.07.2024 г., заключенного на основании п. 4 ч. 1 ст. 93 Закона № 44-ФЗ.</w:t>
      </w:r>
    </w:p>
    <w:p>
      <w:pPr>
        <w:pStyle w:val="Normal"/>
        <w:shd w:val="clear" w:fill="FFFFFF"/>
        <w:suppressAutoHyphens w:val="false"/>
        <w:spacing w:lineRule="auto" w:line="240" w:before="0" w:after="0"/>
        <w:ind w:left="0" w:right="0" w:hanging="0"/>
        <w:jc w:val="both"/>
        <w:rPr/>
      </w:pPr>
      <w:r>
        <w:rPr>
          <w:rStyle w:val="Style17"/>
          <w:rFonts w:eastAsia="Times New Roman" w:cs="Times New Roman" w:ascii="Times New Roman" w:hAnsi="Times New Roman"/>
          <w:b w:val="false"/>
          <w:bCs/>
          <w:i w:val="false"/>
          <w:iCs w:val="false"/>
          <w:caps w:val="false"/>
          <w:smallCaps w:val="false"/>
          <w:color w:val="000000"/>
          <w:spacing w:val="0"/>
          <w:sz w:val="26"/>
          <w:szCs w:val="26"/>
          <w:shd w:fill="auto" w:val="clear"/>
          <w:lang w:val="ru-RU" w:eastAsia="ru-RU"/>
        </w:rPr>
        <w:tab/>
      </w:r>
      <w:r>
        <w:rPr>
          <w:rStyle w:val="Style17"/>
          <w:rFonts w:eastAsia="Times New Roman" w:cs="Times New Roman" w:ascii="Times New Roman" w:hAnsi="Times New Roman"/>
          <w:b w:val="false"/>
          <w:bCs/>
          <w:i w:val="false"/>
          <w:iCs w:val="false"/>
          <w:caps w:val="false"/>
          <w:smallCaps w:val="false"/>
          <w:color w:val="000000"/>
          <w:spacing w:val="0"/>
          <w:sz w:val="27"/>
          <w:szCs w:val="27"/>
          <w:shd w:fill="auto" w:val="clear"/>
          <w:lang w:val="ru-RU" w:eastAsia="ru-RU"/>
        </w:rPr>
        <w:t>Ведомственным контролем соблюдения трудового законодательства и иных нормативных правовых актов, содержащих нормы трудового права, проведенного на основании распоряжения администрации МО г. Горячий Ключ от 24.12.2024 г.     № 147р «О проведении проверок» установлено, что учреждением не разработаны нормативные-правовые акты (в количестве 10 нарушений), наличие которых предусмотрено:</w:t>
      </w:r>
    </w:p>
    <w:p>
      <w:pPr>
        <w:pStyle w:val="Normal"/>
        <w:shd w:val="clear" w:fill="FFFFFF"/>
        <w:suppressAutoHyphens w:val="false"/>
        <w:spacing w:lineRule="auto" w:line="240" w:before="0" w:after="0"/>
        <w:ind w:left="0" w:right="0" w:hanging="0"/>
        <w:jc w:val="both"/>
        <w:rPr/>
      </w:pPr>
      <w:r>
        <w:rPr>
          <w:rStyle w:val="Style17"/>
          <w:rFonts w:cs="Times New Roman" w:ascii="Times New Roman" w:hAnsi="Times New Roman"/>
          <w:b w:val="false"/>
          <w:bCs w:val="false"/>
          <w:i w:val="false"/>
          <w:strike w:val="false"/>
          <w:dstrike w:val="false"/>
          <w:outline w:val="false"/>
          <w:shadow w:val="false"/>
          <w:color w:val="000000"/>
          <w:sz w:val="27"/>
          <w:szCs w:val="27"/>
          <w:u w:val="none"/>
          <w:shd w:fill="auto" w:val="clear"/>
          <w:em w:val="none"/>
        </w:rPr>
        <w:tab/>
        <w:t>ст. ч.2 ст. 57, 214, 216.3, 225 Трудового Кодекса Российской Федерации, п. 30.3 Рекомендаций по структуре службы охраны труда в организации и по численности работников службы охраны труда, утвержденных приказом Министерства труда и социальной защиты РФ от 31.01.2022 г. № 37,  ст. 370 Постановления Исполкома ФНПР от 18.10.2006 г. № 4-3, Примерного положения о системе управления охраной труда, утвержденного приказом Министерства труда и социальной защиты РФ от 29 октября 2021 г. № 776н, Правил обучения по охране труда и проверке знаний, требований охраны труда, утвержденных постановлением Правительства РФ от 24.12.2021 г. № 2464, глава 2, п. 2.3 Правил по охране труда при эксплуатации электроустановок, утвержденных приказом Министерства труда и социальной защиты РФ от 15.12.2020 г. № 903н, Единых типовых норм выдачи средств индивидуальной защиты и смывающих средств», утвержденных приказом  Министерства труда и социальной защиты РФ от 29.10.2021 г. № 767н,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 утвержденного приказом Министерства труда и социальной защиты РФ от 29.10.2021 г. № 771н, п. 6 ч. 2 ст. 4 Федерального закона от 28.12.2013 г. № 426-ФЗ «О специальной оценке условий труда».</w:t>
      </w:r>
    </w:p>
    <w:p>
      <w:pPr>
        <w:pStyle w:val="Normal"/>
        <w:spacing w:lineRule="auto" w:line="240" w:before="0" w:after="0"/>
        <w:ind w:left="0" w:right="0" w:hanging="0"/>
        <w:jc w:val="both"/>
        <w:textAlignment w:val="baseline"/>
        <w:rPr>
          <w:rFonts w:ascii="Calibri" w:hAnsi="Calibri" w:eastAsia="Calibri" w:cs="Calibri"/>
          <w:sz w:val="27"/>
          <w:szCs w:val="27"/>
        </w:rPr>
      </w:pPr>
      <w:r>
        <w:rPr>
          <w:rFonts w:eastAsia="Calibri" w:cs="Times New Roman" w:ascii="Times New Roman" w:hAnsi="Times New Roman"/>
          <w:sz w:val="27"/>
          <w:szCs w:val="27"/>
          <w:lang w:eastAsia="ru-RU"/>
        </w:rPr>
        <w:tab/>
        <w:t>По результатам контрольного мероприятия составлен</w:t>
      </w:r>
      <w:r>
        <w:rPr>
          <w:rFonts w:eastAsia="Calibri" w:cs="Times New Roman" w:ascii="Times New Roman" w:hAnsi="Times New Roman" w:eastAsiaTheme="minorHAnsi"/>
          <w:color w:val="auto"/>
          <w:kern w:val="0"/>
          <w:sz w:val="27"/>
          <w:szCs w:val="27"/>
          <w:lang w:val="ru-RU" w:eastAsia="ru-RU" w:bidi="ar-SA"/>
        </w:rPr>
        <w:t xml:space="preserve">ы </w:t>
      </w:r>
      <w:r>
        <w:rPr>
          <w:rFonts w:eastAsia="Calibri" w:cs="Times New Roman" w:ascii="Times New Roman" w:hAnsi="Times New Roman"/>
          <w:sz w:val="27"/>
          <w:szCs w:val="27"/>
          <w:lang w:eastAsia="ru-RU"/>
        </w:rPr>
        <w:t>и направлен</w:t>
      </w:r>
      <w:r>
        <w:rPr>
          <w:rFonts w:eastAsia="Calibri" w:cs="Times New Roman" w:ascii="Times New Roman" w:hAnsi="Times New Roman"/>
          <w:sz w:val="27"/>
          <w:szCs w:val="27"/>
          <w:lang w:eastAsia="ru-RU"/>
        </w:rPr>
        <w:t>ы</w:t>
      </w:r>
      <w:r>
        <w:rPr>
          <w:rFonts w:eastAsia="Calibri" w:cs="Times New Roman" w:ascii="Times New Roman" w:hAnsi="Times New Roman"/>
          <w:sz w:val="27"/>
          <w:szCs w:val="27"/>
          <w:lang w:eastAsia="ru-RU"/>
        </w:rPr>
        <w:t xml:space="preserve"> объекту контроля обязательн</w:t>
      </w:r>
      <w:r>
        <w:rPr>
          <w:rFonts w:eastAsia="Calibri" w:cs="Times New Roman" w:ascii="Times New Roman" w:hAnsi="Times New Roman" w:eastAsiaTheme="minorHAnsi"/>
          <w:color w:val="auto"/>
          <w:kern w:val="0"/>
          <w:sz w:val="27"/>
          <w:szCs w:val="27"/>
          <w:lang w:val="ru-RU" w:eastAsia="ru-RU" w:bidi="ar-SA"/>
        </w:rPr>
        <w:t>ы</w:t>
      </w:r>
      <w:r>
        <w:rPr>
          <w:rFonts w:eastAsia="Calibri" w:cs="Times New Roman" w:ascii="Times New Roman" w:hAnsi="Times New Roman"/>
          <w:sz w:val="27"/>
          <w:szCs w:val="27"/>
          <w:lang w:eastAsia="ru-RU"/>
        </w:rPr>
        <w:t xml:space="preserve"> для исполнения представлени</w:t>
      </w:r>
      <w:r>
        <w:rPr>
          <w:rFonts w:eastAsia="Calibri" w:cs="Times New Roman" w:ascii="Times New Roman" w:hAnsi="Times New Roman"/>
          <w:sz w:val="27"/>
          <w:szCs w:val="27"/>
          <w:lang w:eastAsia="ru-RU"/>
        </w:rPr>
        <w:t>я</w:t>
      </w:r>
      <w:r>
        <w:rPr>
          <w:rFonts w:eastAsia="Calibri" w:cs="Times New Roman" w:ascii="Times New Roman" w:hAnsi="Times New Roman"/>
          <w:sz w:val="27"/>
          <w:szCs w:val="27"/>
          <w:lang w:eastAsia="ru-RU"/>
        </w:rPr>
        <w:t xml:space="preserve"> № </w:t>
      </w:r>
      <w:r>
        <w:rPr>
          <w:rFonts w:eastAsia="Calibri" w:cs="Times New Roman" w:ascii="Times New Roman" w:hAnsi="Times New Roman" w:eastAsiaTheme="minorHAnsi"/>
          <w:sz w:val="27"/>
          <w:szCs w:val="27"/>
          <w:shd w:fill="auto" w:val="clear"/>
          <w:lang w:eastAsia="ru-RU"/>
        </w:rPr>
        <w:t>11</w:t>
      </w:r>
      <w:r>
        <w:rPr>
          <w:rFonts w:eastAsia="Calibri" w:cs="Times New Roman" w:ascii="Times New Roman" w:hAnsi="Times New Roman" w:eastAsiaTheme="minorHAnsi"/>
          <w:sz w:val="27"/>
          <w:szCs w:val="27"/>
          <w:shd w:fill="auto" w:val="clear"/>
          <w:lang w:eastAsia="ru-RU"/>
        </w:rPr>
        <w:t>7 и № 118</w:t>
      </w:r>
      <w:r>
        <w:rPr>
          <w:rFonts w:eastAsia="Calibri" w:cs="Times New Roman" w:ascii="Times New Roman" w:hAnsi="Times New Roman"/>
          <w:sz w:val="27"/>
          <w:szCs w:val="27"/>
          <w:lang w:eastAsia="ru-RU"/>
        </w:rPr>
        <w:t>. Копия представления направлена органу, на который возложены обязанности главного распорядителя бюджетных средств.</w:t>
      </w:r>
    </w:p>
    <w:p>
      <w:pPr>
        <w:pStyle w:val="Normal"/>
        <w:spacing w:lineRule="auto" w:line="240" w:before="0" w:after="0"/>
        <w:jc w:val="both"/>
        <w:textAlignment w:val="baseline"/>
        <w:rPr>
          <w:rFonts w:ascii="Calibri" w:hAnsi="Calibri" w:eastAsia="Calibri" w:cs="Calibri"/>
          <w:sz w:val="27"/>
          <w:szCs w:val="27"/>
        </w:rPr>
      </w:pPr>
      <w:r>
        <w:rPr>
          <w:rFonts w:eastAsia="Calibri" w:cs="Times New Roman" w:ascii="Times New Roman" w:hAnsi="Times New Roman"/>
          <w:sz w:val="27"/>
          <w:szCs w:val="27"/>
          <w:lang w:eastAsia="ru-RU"/>
        </w:rPr>
        <w:tab/>
        <w:t>Материалы проверок переданы на рассмотрение заместителя главы муниципального образования муниципальный округ города Горячий Ключ Краснодарского края, курирующего работу отдела внутреннего финансового контроля.</w:t>
      </w:r>
    </w:p>
    <w:p>
      <w:pPr>
        <w:pStyle w:val="Normal"/>
        <w:tabs>
          <w:tab w:val="clear" w:pos="708"/>
          <w:tab w:val="left" w:pos="0" w:leader="none"/>
          <w:tab w:val="left" w:pos="585" w:leader="none"/>
        </w:tabs>
        <w:spacing w:lineRule="auto" w:line="240" w:before="0" w:after="0"/>
        <w:jc w:val="both"/>
        <w:textAlignment w:val="baseline"/>
        <w:rPr>
          <w:rFonts w:ascii="Calibri" w:hAnsi="Calibri" w:eastAsia="Calibri" w:cs="Calibri"/>
          <w:sz w:val="27"/>
          <w:szCs w:val="27"/>
        </w:rPr>
      </w:pPr>
      <w:r>
        <w:rPr>
          <w:rFonts w:eastAsia="Calibri" w:cs="Times New Roman" w:ascii="Times New Roman" w:hAnsi="Times New Roman"/>
          <w:color w:val="000000"/>
          <w:sz w:val="27"/>
          <w:szCs w:val="27"/>
        </w:rPr>
        <w:tab/>
      </w:r>
    </w:p>
    <w:p>
      <w:pPr>
        <w:pStyle w:val="Normal"/>
        <w:spacing w:before="0" w:after="160"/>
        <w:rPr>
          <w:sz w:val="27"/>
          <w:szCs w:val="27"/>
        </w:rPr>
      </w:pPr>
      <w:r>
        <w:rPr/>
      </w:r>
    </w:p>
    <w:sectPr>
      <w:type w:val="nextPage"/>
      <w:pgSz w:w="11906" w:h="16838"/>
      <w:pgMar w:left="1701" w:right="567" w:header="0" w:top="1134" w:footer="0" w:bottom="1134"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90f15"/>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Интернет-ссылка"/>
    <w:basedOn w:val="Style17"/>
    <w:qFormat/>
    <w:rsid w:val="00ac6a9b"/>
    <w:rPr>
      <w:color w:val="0000FF"/>
      <w:u w:val="single"/>
    </w:rPr>
  </w:style>
  <w:style w:type="character" w:styleId="Style15">
    <w:name w:val="Выделение"/>
    <w:qFormat/>
    <w:rsid w:val="00ed2f97"/>
    <w:rPr>
      <w:i/>
      <w:iCs/>
    </w:rPr>
  </w:style>
  <w:style w:type="character" w:styleId="Style16" w:customStyle="1">
    <w:name w:val="Текст выноски Знак"/>
    <w:basedOn w:val="DefaultParagraphFont"/>
    <w:link w:val="a5"/>
    <w:uiPriority w:val="99"/>
    <w:semiHidden/>
    <w:qFormat/>
    <w:rsid w:val="00ed4a52"/>
    <w:rPr>
      <w:rFonts w:ascii="Segoe UI" w:hAnsi="Segoe UI" w:cs="Segoe UI"/>
      <w:sz w:val="18"/>
      <w:szCs w:val="18"/>
    </w:rPr>
  </w:style>
  <w:style w:type="character" w:styleId="Style17">
    <w:name w:val="Основной шрифт абзаца"/>
    <w:qFormat/>
    <w:rPr/>
  </w:style>
  <w:style w:type="paragraph" w:styleId="Style18">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Указатель"/>
    <w:basedOn w:val="Normal"/>
    <w:qFormat/>
    <w:pPr>
      <w:suppressLineNumbers/>
    </w:pPr>
    <w:rPr>
      <w:rFonts w:cs="Arial"/>
    </w:rPr>
  </w:style>
  <w:style w:type="paragraph" w:styleId="NoSpacing">
    <w:name w:val="No Spacing"/>
    <w:qFormat/>
    <w:rsid w:val="00ac6a9b"/>
    <w:pPr>
      <w:widowControl/>
      <w:suppressAutoHyphens w:val="true"/>
      <w:bidi w:val="0"/>
      <w:spacing w:lineRule="auto" w:line="240" w:before="0" w:after="0"/>
      <w:jc w:val="left"/>
      <w:textAlignment w:val="baseline"/>
    </w:pPr>
    <w:rPr>
      <w:rFonts w:ascii="Calibri" w:hAnsi="Calibri" w:eastAsia="Calibri" w:cs="Tahoma" w:asciiTheme="minorHAnsi" w:eastAsiaTheme="minorHAnsi" w:hAnsiTheme="minorHAnsi"/>
      <w:color w:val="auto"/>
      <w:kern w:val="0"/>
      <w:sz w:val="22"/>
      <w:szCs w:val="22"/>
      <w:lang w:val="ru-RU" w:eastAsia="en-US" w:bidi="ar-SA"/>
    </w:rPr>
  </w:style>
  <w:style w:type="paragraph" w:styleId="Standard" w:customStyle="1">
    <w:name w:val="Standard"/>
    <w:qFormat/>
    <w:rsid w:val="00ed2f97"/>
    <w:pPr>
      <w:widowControl/>
      <w:suppressAutoHyphens w:val="true"/>
      <w:bidi w:val="0"/>
      <w:spacing w:lineRule="auto" w:line="276" w:before="0" w:after="200"/>
      <w:jc w:val="left"/>
      <w:textAlignment w:val="baseline"/>
    </w:pPr>
    <w:rPr>
      <w:rFonts w:ascii="Calibri" w:hAnsi="Calibri" w:eastAsia="Calibri" w:cs="Tahoma" w:asciiTheme="minorHAnsi" w:eastAsiaTheme="minorHAnsi" w:hAnsiTheme="minorHAnsi"/>
      <w:color w:val="auto"/>
      <w:kern w:val="0"/>
      <w:sz w:val="22"/>
      <w:szCs w:val="22"/>
      <w:lang w:val="ru-RU" w:eastAsia="en-US" w:bidi="ar-SA"/>
    </w:rPr>
  </w:style>
  <w:style w:type="paragraph" w:styleId="BalloonText">
    <w:name w:val="Balloon Text"/>
    <w:basedOn w:val="Normal"/>
    <w:link w:val="a6"/>
    <w:uiPriority w:val="99"/>
    <w:semiHidden/>
    <w:unhideWhenUsed/>
    <w:qFormat/>
    <w:rsid w:val="00ed4a52"/>
    <w:pPr>
      <w:spacing w:lineRule="auto" w:line="240" w:before="0" w:after="0"/>
    </w:pPr>
    <w:rPr>
      <w:rFonts w:ascii="Segoe UI" w:hAnsi="Segoe UI" w:cs="Segoe UI"/>
      <w:sz w:val="18"/>
      <w:szCs w:val="18"/>
    </w:rPr>
  </w:style>
  <w:style w:type="paragraph" w:styleId="Style23">
    <w:name w:val="Без интервала"/>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Application>LibreOffice/7.0.1.2$Windows_X86_64 LibreOffice_project/7cbcfc562f6eb6708b5ff7d7397325de9e764452</Application>
  <Pages>4</Pages>
  <Words>1228</Words>
  <Characters>8251</Characters>
  <CharactersWithSpaces>9491</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2025-05-22T10:25:00Z</dcterms:created>
  <dc:creator>Овсянникова Ирина Федоровна</dc:creator>
  <dc:description/>
  <dc:language>ru-RU</dc:language>
  <cp:lastModifiedBy/>
  <cp:lastPrinted>2025-09-26T08:17:40Z</cp:lastPrinted>
  <dcterms:modified xsi:type="dcterms:W3CDTF">2025-09-29T10:31:58Z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