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8D" w:rsidRDefault="0033168D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33168D" w:rsidRDefault="0033168D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33168D" w:rsidRDefault="0033168D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33168D" w:rsidRDefault="0033168D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33168D" w:rsidRDefault="0033168D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33168D" w:rsidRDefault="0033168D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33168D" w:rsidRDefault="0033168D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33168D" w:rsidRDefault="0033168D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33168D" w:rsidRDefault="0033168D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33168D" w:rsidRDefault="0033168D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33168D" w:rsidRDefault="00E1251C">
      <w:pPr>
        <w:spacing w:line="200" w:lineRule="atLeast"/>
        <w:jc w:val="center"/>
        <w:rPr>
          <w:rFonts w:hint="eastAsia"/>
        </w:rPr>
      </w:pPr>
      <w:r>
        <w:rPr>
          <w:b/>
          <w:sz w:val="28"/>
          <w:szCs w:val="28"/>
        </w:rPr>
        <w:t>Об утверждении</w:t>
      </w:r>
      <w:r w:rsidR="008110F8">
        <w:rPr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город Горячий Ключ</w:t>
      </w:r>
    </w:p>
    <w:p w:rsidR="0033168D" w:rsidRDefault="0033168D">
      <w:pPr>
        <w:jc w:val="center"/>
        <w:rPr>
          <w:rFonts w:hint="eastAsia"/>
          <w:b/>
          <w:bCs/>
          <w:sz w:val="28"/>
          <w:szCs w:val="28"/>
        </w:rPr>
      </w:pPr>
    </w:p>
    <w:p w:rsidR="0033168D" w:rsidRDefault="0033168D">
      <w:pPr>
        <w:jc w:val="center"/>
        <w:rPr>
          <w:rFonts w:hint="eastAsia"/>
          <w:b/>
          <w:bCs/>
          <w:sz w:val="28"/>
          <w:szCs w:val="28"/>
        </w:rPr>
      </w:pPr>
    </w:p>
    <w:p w:rsidR="0033168D" w:rsidRDefault="00E125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3 пункта 5 статьи 39.28 Земельного Кодекса Российской Федерации, </w:t>
      </w:r>
      <w:r w:rsidRPr="00E1251C">
        <w:rPr>
          <w:rFonts w:ascii="Times New Roman" w:hAnsi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33168D" w:rsidRDefault="003316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68D" w:rsidRDefault="00E1251C">
      <w:pPr>
        <w:spacing w:line="200" w:lineRule="atLeast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город Горячий Ключ (приложение).</w:t>
      </w:r>
    </w:p>
    <w:p w:rsidR="0033168D" w:rsidRDefault="00E1251C">
      <w:pPr>
        <w:pStyle w:val="a8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Горячий Ключ (Манасян) опубликовать настоящее постановление в соответствии с действующим законодательством.</w:t>
      </w:r>
    </w:p>
    <w:p w:rsidR="0033168D" w:rsidRDefault="00E1251C">
      <w:pPr>
        <w:pStyle w:val="3"/>
        <w:spacing w:after="0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муниципального образования город Горячий Ключ                      Д.Г.Карпенко.</w:t>
      </w:r>
    </w:p>
    <w:p w:rsidR="0033168D" w:rsidRDefault="00E1251C">
      <w:pPr>
        <w:pStyle w:val="3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3168D" w:rsidRDefault="0033168D">
      <w:pPr>
        <w:rPr>
          <w:rFonts w:ascii="Times New Roman" w:hAnsi="Times New Roman"/>
          <w:sz w:val="28"/>
          <w:szCs w:val="28"/>
        </w:rPr>
      </w:pPr>
    </w:p>
    <w:p w:rsidR="0033168D" w:rsidRDefault="0033168D">
      <w:pPr>
        <w:rPr>
          <w:rFonts w:ascii="Times New Roman" w:hAnsi="Times New Roman"/>
          <w:sz w:val="28"/>
          <w:szCs w:val="28"/>
        </w:rPr>
      </w:pPr>
    </w:p>
    <w:p w:rsidR="0033168D" w:rsidRDefault="00E125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3168D" w:rsidRDefault="00E1251C">
      <w:pPr>
        <w:tabs>
          <w:tab w:val="left" w:pos="709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                                                                       И.А.Федоровский</w:t>
      </w:r>
    </w:p>
    <w:p w:rsidR="0033168D" w:rsidRDefault="00E1251C">
      <w:pPr>
        <w:tabs>
          <w:tab w:val="left" w:pos="709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br w:type="page"/>
      </w:r>
    </w:p>
    <w:p w:rsidR="0033168D" w:rsidRDefault="00E1251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168D" w:rsidRDefault="0033168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3168D" w:rsidRDefault="00E1251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3168D" w:rsidRDefault="00E1251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3168D" w:rsidRDefault="00E1251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3168D" w:rsidRDefault="00E1251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</w:p>
    <w:p w:rsidR="0033168D" w:rsidRDefault="00E1251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33168D" w:rsidRDefault="00E1251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 № ________</w:t>
      </w:r>
    </w:p>
    <w:p w:rsidR="0033168D" w:rsidRDefault="0033168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3168D" w:rsidRDefault="0033168D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3168D" w:rsidRDefault="00E1251C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33168D" w:rsidRDefault="00E1251C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размера платы за увеличение площади земельных</w:t>
      </w:r>
    </w:p>
    <w:p w:rsidR="0033168D" w:rsidRDefault="00E1251C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участков, находящихся в частной собственности, в результате</w:t>
      </w:r>
    </w:p>
    <w:p w:rsidR="0033168D" w:rsidRDefault="00E1251C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перераспределения с земельными участками, находящимися в</w:t>
      </w:r>
    </w:p>
    <w:p w:rsidR="0033168D" w:rsidRDefault="00E1251C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</w:t>
      </w:r>
    </w:p>
    <w:p w:rsidR="0033168D" w:rsidRDefault="00E1251C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</w:p>
    <w:p w:rsidR="0033168D" w:rsidRDefault="0033168D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</w:p>
    <w:p w:rsidR="0033168D" w:rsidRDefault="00E1251C" w:rsidP="00E1251C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соответствии с настоящим Порядком </w:t>
      </w:r>
      <w:bookmarkStart w:id="0" w:name="__DdeLink__40438_1561963395"/>
      <w:r>
        <w:rPr>
          <w:rFonts w:ascii="Times New Roman" w:hAnsi="Times New Roman"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город Горячий Ключ</w:t>
      </w:r>
      <w:bookmarkEnd w:id="0"/>
      <w:r>
        <w:rPr>
          <w:rFonts w:ascii="Times New Roman" w:hAnsi="Times New Roman"/>
          <w:sz w:val="28"/>
          <w:szCs w:val="28"/>
        </w:rPr>
        <w:t xml:space="preserve"> (далее — Порядок), устанавливается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город Горячий Ключ (далее — размер платы), если иное не установлено федеральными законами.</w:t>
      </w:r>
    </w:p>
    <w:p w:rsidR="0033168D" w:rsidRDefault="00E1251C" w:rsidP="00E1251C">
      <w:pPr>
        <w:pStyle w:val="ConsPlusNormal"/>
        <w:suppressAutoHyphens/>
        <w:ind w:firstLine="709"/>
        <w:jc w:val="both"/>
      </w:pPr>
      <w:r>
        <w:rPr>
          <w:rFonts w:ascii="Times New Roman" w:hAnsi="Times New Roman"/>
          <w:sz w:val="28"/>
          <w:szCs w:val="28"/>
        </w:rPr>
        <w:t>2. Размер платы рассчитывается о</w:t>
      </w:r>
      <w:r w:rsidR="004115FA">
        <w:rPr>
          <w:rFonts w:ascii="Times New Roman" w:hAnsi="Times New Roman"/>
          <w:sz w:val="28"/>
          <w:szCs w:val="28"/>
        </w:rPr>
        <w:t xml:space="preserve">рганом местного самоуправления </w:t>
      </w:r>
      <w:r>
        <w:rPr>
          <w:rFonts w:ascii="Times New Roman" w:hAnsi="Times New Roman"/>
          <w:sz w:val="28"/>
          <w:szCs w:val="28"/>
        </w:rPr>
        <w:t>в отношении земельных участков, находящихся в муниципальной собственности.</w:t>
      </w:r>
    </w:p>
    <w:p w:rsidR="0033168D" w:rsidRDefault="00E1251C" w:rsidP="00E1251C">
      <w:pPr>
        <w:pStyle w:val="ConsPlusNormal"/>
        <w:suppressAutoHyphens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="00F83871">
        <w:rPr>
          <w:rFonts w:ascii="Times New Roman" w:hAnsi="Times New Roman"/>
          <w:sz w:val="28"/>
          <w:szCs w:val="28"/>
        </w:rPr>
        <w:t xml:space="preserve">Размер платы определяется в размере </w:t>
      </w:r>
      <w:r>
        <w:rPr>
          <w:rFonts w:ascii="Times New Roman" w:hAnsi="Times New Roman"/>
          <w:sz w:val="28"/>
          <w:szCs w:val="28"/>
        </w:rPr>
        <w:t xml:space="preserve">кадастровой стоимости земельного участка,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случаев, предусмотренных </w:t>
      </w:r>
      <w:hyperlink w:anchor="Par283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 xml:space="preserve">пунктами </w:t>
        </w:r>
      </w:hyperlink>
      <w:r>
        <w:rPr>
          <w:rStyle w:val="-"/>
          <w:rFonts w:ascii="Times New Roman" w:hAnsi="Times New Roman"/>
          <w:color w:val="00000A"/>
          <w:sz w:val="28"/>
          <w:szCs w:val="28"/>
          <w:u w:val="none"/>
        </w:rPr>
        <w:t>4 и 5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83871" w:rsidRDefault="00E1251C" w:rsidP="00E1251C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83871">
        <w:rPr>
          <w:rFonts w:ascii="Times New Roman" w:hAnsi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F83871" w:rsidRPr="00F83871">
        <w:rPr>
          <w:rFonts w:ascii="Times New Roman" w:hAnsi="Times New Roman"/>
          <w:sz w:val="28"/>
          <w:szCs w:val="28"/>
        </w:rPr>
        <w:t xml:space="preserve">определяется на основании установленной в соответствии с </w:t>
      </w:r>
      <w:hyperlink r:id="rId5" w:anchor="/document/12112509/entry/0" w:history="1">
        <w:r w:rsidR="00F83871" w:rsidRPr="00F8387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F83871" w:rsidRPr="00F83871">
        <w:rPr>
          <w:rFonts w:ascii="Times New Roman" w:hAnsi="Times New Roman"/>
          <w:sz w:val="28"/>
          <w:szCs w:val="28"/>
        </w:rPr>
        <w:t xml:space="preserve"> об оценочной деятельности рыночной стоимости соответственно части</w:t>
      </w:r>
      <w:r w:rsidR="00F83871">
        <w:rPr>
          <w:rFonts w:ascii="Times New Roman" w:hAnsi="Times New Roman"/>
          <w:sz w:val="28"/>
          <w:szCs w:val="28"/>
        </w:rPr>
        <w:t xml:space="preserve">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</w:p>
    <w:p w:rsidR="0033168D" w:rsidRPr="001F2656" w:rsidRDefault="00F83871" w:rsidP="001F26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F2656" w:rsidRPr="001F2656">
        <w:rPr>
          <w:rFonts w:ascii="Times New Roman" w:hAnsi="Times New Roman"/>
          <w:sz w:val="28"/>
          <w:szCs w:val="28"/>
        </w:rPr>
        <w:t xml:space="preserve">Размер платы определяется </w:t>
      </w:r>
      <w:r w:rsidR="001F2656">
        <w:rPr>
          <w:rFonts w:ascii="Times New Roman" w:hAnsi="Times New Roman"/>
          <w:sz w:val="28"/>
          <w:szCs w:val="28"/>
        </w:rPr>
        <w:t xml:space="preserve">как 15 процентов </w:t>
      </w:r>
      <w:r w:rsidR="001F2656" w:rsidRPr="001F2656">
        <w:rPr>
          <w:rFonts w:ascii="Times New Roman" w:hAnsi="Times New Roman"/>
          <w:sz w:val="28"/>
          <w:szCs w:val="28"/>
        </w:rPr>
        <w:t>кадастровой стоимости земельного участка,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собственности</w:t>
      </w:r>
      <w:r w:rsidR="001F2656">
        <w:rPr>
          <w:rFonts w:ascii="Times New Roman" w:hAnsi="Times New Roman"/>
          <w:sz w:val="28"/>
          <w:szCs w:val="28"/>
        </w:rPr>
        <w:t xml:space="preserve"> гражданина </w:t>
      </w:r>
      <w:r w:rsidR="001F2656" w:rsidRPr="001F2656">
        <w:rPr>
          <w:rFonts w:ascii="Times New Roman" w:hAnsi="Times New Roman" w:cs="Times New Roman"/>
          <w:sz w:val="28"/>
          <w:szCs w:val="28"/>
        </w:rPr>
        <w:t xml:space="preserve">и предназначенного для индивидуального </w:t>
      </w:r>
      <w:r w:rsidR="001F2656" w:rsidRPr="001F2656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строительства, ведения личного подсобного хозяйства в границах населенного пункта,</w:t>
      </w:r>
      <w:r w:rsidR="001F2656">
        <w:rPr>
          <w:rFonts w:ascii="Times New Roman" w:hAnsi="Times New Roman" w:cs="Times New Roman"/>
          <w:sz w:val="28"/>
          <w:szCs w:val="28"/>
        </w:rPr>
        <w:t xml:space="preserve"> садоводства, дачного хозяйства.</w:t>
      </w:r>
    </w:p>
    <w:p w:rsidR="0033168D" w:rsidRDefault="0033168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F2656" w:rsidRDefault="001F265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115FA" w:rsidRDefault="004115FA" w:rsidP="004115F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управления,</w:t>
      </w:r>
    </w:p>
    <w:p w:rsidR="004115FA" w:rsidRDefault="004115FA" w:rsidP="004115F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земельных отношений</w:t>
      </w:r>
    </w:p>
    <w:p w:rsidR="004115FA" w:rsidRDefault="004115FA" w:rsidP="004115F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имущественных и земельных </w:t>
      </w:r>
    </w:p>
    <w:p w:rsidR="004115FA" w:rsidRDefault="004115FA" w:rsidP="004115F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 администрации муниципального</w:t>
      </w:r>
    </w:p>
    <w:p w:rsidR="004115FA" w:rsidRDefault="004115FA" w:rsidP="004115FA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образования город Горячий Ключ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Д.С.Чирков</w:t>
      </w:r>
    </w:p>
    <w:p w:rsidR="0033168D" w:rsidRDefault="0033168D" w:rsidP="004115FA">
      <w:pPr>
        <w:pStyle w:val="ConsPlusNormal"/>
        <w:jc w:val="both"/>
      </w:pPr>
    </w:p>
    <w:sectPr w:rsidR="0033168D" w:rsidSect="00186E58">
      <w:pgSz w:w="11906" w:h="16838"/>
      <w:pgMar w:top="575" w:right="568" w:bottom="629" w:left="17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0696"/>
    <w:multiLevelType w:val="multilevel"/>
    <w:tmpl w:val="BB7647F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characterSpacingControl w:val="doNotCompress"/>
  <w:compat>
    <w:useFELayout/>
  </w:compat>
  <w:rsids>
    <w:rsidRoot w:val="0033168D"/>
    <w:rsid w:val="00186E58"/>
    <w:rsid w:val="001F2656"/>
    <w:rsid w:val="0033168D"/>
    <w:rsid w:val="004115FA"/>
    <w:rsid w:val="008110F8"/>
    <w:rsid w:val="00E1251C"/>
    <w:rsid w:val="00F8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58"/>
    <w:rPr>
      <w:color w:val="00000A"/>
      <w:sz w:val="24"/>
    </w:rPr>
  </w:style>
  <w:style w:type="paragraph" w:styleId="1">
    <w:name w:val="heading 1"/>
    <w:basedOn w:val="a"/>
    <w:next w:val="a"/>
    <w:qFormat/>
    <w:rsid w:val="00186E58"/>
    <w:pPr>
      <w:widowControl w:val="0"/>
      <w:numPr>
        <w:numId w:val="1"/>
      </w:numPr>
      <w:tabs>
        <w:tab w:val="left" w:pos="0"/>
        <w:tab w:val="left" w:pos="432"/>
      </w:tabs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86E5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86E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86E58"/>
    <w:pPr>
      <w:spacing w:after="140" w:line="288" w:lineRule="auto"/>
    </w:pPr>
  </w:style>
  <w:style w:type="paragraph" w:styleId="a5">
    <w:name w:val="List"/>
    <w:basedOn w:val="a4"/>
    <w:rsid w:val="00186E58"/>
  </w:style>
  <w:style w:type="paragraph" w:styleId="a6">
    <w:name w:val="caption"/>
    <w:basedOn w:val="a"/>
    <w:qFormat/>
    <w:rsid w:val="00186E5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86E58"/>
    <w:pPr>
      <w:suppressLineNumbers/>
    </w:pPr>
  </w:style>
  <w:style w:type="paragraph" w:customStyle="1" w:styleId="ConsPlusNormal">
    <w:name w:val="ConsPlusNormal"/>
    <w:qFormat/>
    <w:rsid w:val="00186E58"/>
    <w:rPr>
      <w:rFonts w:ascii="Arial" w:eastAsia="Arial" w:hAnsi="Arial" w:cs="Courier New"/>
      <w:color w:val="00000A"/>
    </w:rPr>
  </w:style>
  <w:style w:type="paragraph" w:customStyle="1" w:styleId="ConsPlusTitle">
    <w:name w:val="ConsPlusTitle"/>
    <w:qFormat/>
    <w:rsid w:val="00186E58"/>
    <w:rPr>
      <w:rFonts w:ascii="Arial" w:eastAsia="Arial" w:hAnsi="Arial" w:cs="Courier New"/>
      <w:b/>
      <w:color w:val="00000A"/>
      <w:sz w:val="16"/>
    </w:rPr>
  </w:style>
  <w:style w:type="paragraph" w:styleId="a8">
    <w:name w:val="Body Text Indent"/>
    <w:basedOn w:val="a"/>
    <w:rsid w:val="00186E58"/>
    <w:pPr>
      <w:spacing w:after="120"/>
      <w:ind w:left="283"/>
    </w:pPr>
  </w:style>
  <w:style w:type="paragraph" w:styleId="3">
    <w:name w:val="Body Text 3"/>
    <w:basedOn w:val="a"/>
    <w:qFormat/>
    <w:rsid w:val="00186E58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1251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1251C"/>
    <w:rPr>
      <w:rFonts w:ascii="Tahoma" w:hAnsi="Tahoma" w:cs="Mangal"/>
      <w:color w:val="00000A"/>
      <w:sz w:val="16"/>
      <w:szCs w:val="14"/>
    </w:rPr>
  </w:style>
  <w:style w:type="character" w:styleId="ab">
    <w:name w:val="Hyperlink"/>
    <w:basedOn w:val="a0"/>
    <w:uiPriority w:val="99"/>
    <w:unhideWhenUsed/>
    <w:rsid w:val="00F83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Светлана</dc:creator>
  <dc:description/>
  <cp:lastModifiedBy>Чирков Дмитрий</cp:lastModifiedBy>
  <cp:revision>3</cp:revision>
  <cp:lastPrinted>2018-05-25T11:47:00Z</cp:lastPrinted>
  <dcterms:created xsi:type="dcterms:W3CDTF">2018-05-15T14:39:00Z</dcterms:created>
  <dcterms:modified xsi:type="dcterms:W3CDTF">2018-05-25T11:58:00Z</dcterms:modified>
  <dc:language>ru-RU</dc:language>
</cp:coreProperties>
</file>