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jc w:val="center"/>
        <w:rPr>
          <w:rFonts w:eastAsia="SimSun"/>
          <w:color w:val="000000"/>
          <w:sz w:val="18"/>
          <w:szCs w:val="18"/>
          <w:u w:val="single"/>
          <w:lang w:eastAsia="zh-CN"/>
        </w:rPr>
      </w:pPr>
      <w:r w:rsidRPr="002C22DD">
        <w:rPr>
          <w:rFonts w:eastAsia="SimSun"/>
          <w:bCs/>
          <w:color w:val="000000"/>
          <w:sz w:val="18"/>
          <w:szCs w:val="18"/>
          <w:u w:val="single"/>
          <w:lang w:eastAsia="zh-CN"/>
        </w:rPr>
        <w:t xml:space="preserve">П – 4. Зона предприятий, производств и объектов </w:t>
      </w:r>
      <w:r w:rsidRPr="002C22DD">
        <w:rPr>
          <w:rFonts w:eastAsia="SimSun"/>
          <w:bCs/>
          <w:color w:val="000000"/>
          <w:sz w:val="18"/>
          <w:szCs w:val="18"/>
          <w:u w:val="single"/>
          <w:lang w:val="en-US" w:eastAsia="zh-CN"/>
        </w:rPr>
        <w:t>IV</w:t>
      </w:r>
      <w:r w:rsidRPr="002C22DD">
        <w:rPr>
          <w:rFonts w:eastAsia="SimSun"/>
          <w:bCs/>
          <w:color w:val="000000"/>
          <w:sz w:val="18"/>
          <w:szCs w:val="18"/>
          <w:u w:val="single"/>
          <w:lang w:eastAsia="zh-CN"/>
        </w:rPr>
        <w:t xml:space="preserve"> класса опасности</w:t>
      </w:r>
      <w:r w:rsidRPr="002C22DD">
        <w:rPr>
          <w:rFonts w:eastAsia="SimSun"/>
          <w:color w:val="000000"/>
          <w:sz w:val="18"/>
          <w:szCs w:val="18"/>
          <w:u w:val="single"/>
          <w:lang w:eastAsia="zh-CN"/>
        </w:rPr>
        <w:t xml:space="preserve"> СЗЗ-</w:t>
      </w:r>
      <w:smartTag w:uri="urn:schemas-microsoft-com:office:smarttags" w:element="metricconverter">
        <w:smartTagPr>
          <w:attr w:name="ProductID" w:val="100 м"/>
        </w:smartTagPr>
        <w:r w:rsidRPr="002C22DD">
          <w:rPr>
            <w:rFonts w:eastAsia="SimSun"/>
            <w:color w:val="000000"/>
            <w:sz w:val="18"/>
            <w:szCs w:val="18"/>
            <w:u w:val="single"/>
            <w:lang w:eastAsia="zh-CN"/>
          </w:rPr>
          <w:t>100 м</w:t>
        </w:r>
      </w:smartTag>
      <w:r w:rsidRPr="002C22DD">
        <w:rPr>
          <w:rFonts w:eastAsia="SimSun"/>
          <w:color w:val="000000"/>
          <w:sz w:val="18"/>
          <w:szCs w:val="18"/>
          <w:u w:val="single"/>
          <w:lang w:eastAsia="zh-CN"/>
        </w:rPr>
        <w:t>.</w:t>
      </w:r>
    </w:p>
    <w:p w:rsidR="000C7BCD" w:rsidRPr="002C22DD" w:rsidRDefault="000C7BCD" w:rsidP="000C7BCD">
      <w:pPr>
        <w:keepLines w:val="0"/>
        <w:widowControl w:val="0"/>
        <w:overflowPunct/>
        <w:autoSpaceDE/>
        <w:autoSpaceDN/>
        <w:adjustRightInd/>
        <w:spacing w:line="240" w:lineRule="auto"/>
        <w:ind w:firstLine="426"/>
        <w:rPr>
          <w:rFonts w:eastAsia="SimSun"/>
          <w:i/>
          <w:iCs/>
          <w:color w:val="000000"/>
          <w:sz w:val="18"/>
          <w:szCs w:val="18"/>
          <w:lang w:eastAsia="zh-CN"/>
        </w:rPr>
      </w:pPr>
      <w:r w:rsidRPr="002C22DD">
        <w:rPr>
          <w:rFonts w:eastAsia="SimSun"/>
          <w:i/>
          <w:iCs/>
          <w:color w:val="000000"/>
          <w:sz w:val="18"/>
          <w:szCs w:val="18"/>
          <w:lang w:eastAsia="zh-CN"/>
        </w:rPr>
        <w:t xml:space="preserve">Зона П-4 выделена для обеспечения правовых условий формирования предприятий, производств и объектов </w:t>
      </w:r>
      <w:r w:rsidRPr="002C22DD">
        <w:rPr>
          <w:rFonts w:eastAsia="SimSun"/>
          <w:i/>
          <w:iCs/>
          <w:color w:val="000000"/>
          <w:sz w:val="18"/>
          <w:szCs w:val="18"/>
          <w:lang w:val="en-US" w:eastAsia="zh-CN"/>
        </w:rPr>
        <w:t>IV</w:t>
      </w:r>
      <w:r w:rsidRPr="002C22DD">
        <w:rPr>
          <w:rFonts w:eastAsia="SimSun"/>
          <w:i/>
          <w:iCs/>
          <w:color w:val="000000"/>
          <w:sz w:val="18"/>
          <w:szCs w:val="18"/>
          <w:lang w:eastAsia="zh-CN"/>
        </w:rPr>
        <w:t xml:space="preserve"> класса </w:t>
      </w:r>
      <w:r w:rsidRPr="002C22DD">
        <w:rPr>
          <w:rFonts w:eastAsia="SimSun"/>
          <w:bCs/>
          <w:i/>
          <w:color w:val="000000"/>
          <w:sz w:val="18"/>
          <w:szCs w:val="18"/>
          <w:lang w:eastAsia="zh-CN"/>
        </w:rPr>
        <w:t>опасности</w:t>
      </w:r>
      <w:r w:rsidRPr="002C22DD">
        <w:rPr>
          <w:rFonts w:eastAsia="SimSun"/>
          <w:i/>
          <w:iCs/>
          <w:color w:val="000000"/>
          <w:sz w:val="18"/>
          <w:szCs w:val="18"/>
          <w:lang w:eastAsia="zh-CN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ОСНОВНЫЕ ВИДЫ И ПАРАМЕТРЫ РАЗРЕШЕННОГО ИСПОЛЬЗОВАНИЯ</w:t>
      </w: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ЗЕМЕЛЬНЫХ УЧАСТКОВ И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C7BCD" w:rsidRPr="002C22DD" w:rsidTr="001C4588">
        <w:trPr>
          <w:trHeight w:val="552"/>
        </w:trPr>
        <w:tc>
          <w:tcPr>
            <w:tcW w:w="4928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ВИДЫ ИСПОЛЬЗОВАНИЯ</w:t>
            </w:r>
          </w:p>
        </w:tc>
        <w:tc>
          <w:tcPr>
            <w:tcW w:w="4678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0C7BCD" w:rsidRPr="002C22DD" w:rsidTr="001C4588">
        <w:trPr>
          <w:trHeight w:val="1772"/>
        </w:trPr>
        <w:tc>
          <w:tcPr>
            <w:tcW w:w="4928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Площадки производственных предприятий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I</w:t>
            </w:r>
            <w:r w:rsidRPr="002C22DD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V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 класса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вредности и ниже различного профиля: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Производственная деятельность – 6.0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Недропользование – 6.1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Тяжелая промышленность – 6.2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Автомобилестроительная промышленность – 6.2.1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Легкая промышленность – 6.3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Фармацевтическая промышленность – 6.3.1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Пищевая промышленность – 6.4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Нефтехимическая промышленность – 6.5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Строительная промышленность – 6.6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Энергетика – 6.7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Связь – 6.8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Склады – 6.9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Обеспечение космической деятельности – 6.10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sz w:val="18"/>
                <w:szCs w:val="18"/>
              </w:rPr>
              <w:t>Целлюлозно-бумажная промышленность – 6.11</w:t>
            </w:r>
          </w:p>
        </w:tc>
        <w:tc>
          <w:tcPr>
            <w:tcW w:w="4678" w:type="dxa"/>
          </w:tcPr>
          <w:p w:rsidR="000C7BCD" w:rsidRPr="002C22DD" w:rsidRDefault="000C7BCD" w:rsidP="001C4588">
            <w:pPr>
              <w:suppressAutoHyphens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минимальная/максимальная площадь земельных участков 500-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250000 кв.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75%;</w:t>
            </w:r>
          </w:p>
          <w:p w:rsidR="000C7BCD" w:rsidRPr="002C22DD" w:rsidRDefault="000C7BCD" w:rsidP="001C4588">
            <w:pPr>
              <w:keepLines w:val="0"/>
              <w:widowControl w:val="0"/>
              <w:overflowPunct/>
              <w:spacing w:line="240" w:lineRule="auto"/>
              <w:ind w:firstLine="284"/>
              <w:rPr>
                <w:color w:val="000000"/>
                <w:sz w:val="18"/>
                <w:szCs w:val="18"/>
                <w:lang w:eastAsia="ar-SA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высота зданий, строений, сооружений от уровня земли - 15 м, высота технологических сооружений устанавливается в соответствии с проектной документацией;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 м</w:t>
              </w:r>
            </w:smartTag>
          </w:p>
        </w:tc>
      </w:tr>
      <w:tr w:rsidR="000C7BCD" w:rsidRPr="002C22DD" w:rsidTr="001C4588">
        <w:trPr>
          <w:trHeight w:val="273"/>
        </w:trPr>
        <w:tc>
          <w:tcPr>
            <w:tcW w:w="4928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Группы предприятий (промышленный узел)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IV  класса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вредности и ниже различного профиля: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Производственная деятельность – 6.0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Недропользование – 6.1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Тяжелая промышленность – 6.2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Автомобилестроительная промышленность – 6.2.1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Легкая промышленность – 6.3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Фармацевтическая промышленность – 6.3.1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Пищевая промышленность – 6.4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Нефтехимическая промышленность – 6.5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Строительная промышленность – 6.6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Энергетика – 6.7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Связь – 6.8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Склады – 6.9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Обеспечение космической деятельности – 6.10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sz w:val="18"/>
                <w:szCs w:val="18"/>
              </w:rPr>
              <w:t>Целлюлозно-бумажная промышленность – 6.11</w:t>
            </w:r>
          </w:p>
        </w:tc>
        <w:tc>
          <w:tcPr>
            <w:tcW w:w="4678" w:type="dxa"/>
          </w:tcPr>
          <w:p w:rsidR="000C7BCD" w:rsidRPr="002C22DD" w:rsidRDefault="000C7BCD" w:rsidP="001C4588">
            <w:pPr>
              <w:suppressAutoHyphens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минимальная/максимальная площадь земельных участков 250000-</w:t>
            </w:r>
            <w:smartTag w:uri="urn:schemas-microsoft-com:office:smarttags" w:element="metricconverter">
              <w:smartTagPr>
                <w:attr w:name="ProductID" w:val="2000000 кв.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2000000 кв.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75%;</w:t>
            </w:r>
          </w:p>
          <w:p w:rsidR="000C7BCD" w:rsidRPr="002C22DD" w:rsidRDefault="000C7BCD" w:rsidP="001C4588">
            <w:pPr>
              <w:keepLines w:val="0"/>
              <w:widowControl w:val="0"/>
              <w:overflowPunct/>
              <w:spacing w:line="240" w:lineRule="auto"/>
              <w:ind w:firstLine="284"/>
              <w:rPr>
                <w:color w:val="000000"/>
                <w:sz w:val="18"/>
                <w:szCs w:val="18"/>
                <w:lang w:eastAsia="ar-SA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высота зданий, строений, сооружений от уровня земли - 15 м, высота технологических сооружений устанавливается в соответствии с проектной документацией;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 м</w:t>
              </w:r>
            </w:smartTag>
          </w:p>
        </w:tc>
      </w:tr>
      <w:tr w:rsidR="000C7BCD" w:rsidRPr="002C22DD" w:rsidTr="001C4588">
        <w:trPr>
          <w:trHeight w:val="273"/>
        </w:trPr>
        <w:tc>
          <w:tcPr>
            <w:tcW w:w="4928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Коммунальное обслуживание – 3.1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Связь – 6.8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</w:tcPr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10 кв.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площадь земельных участков устанавливается исходя из технико-экономических характеристик объекта с учетом минимальных отступов от границ земельного участка (определяется проектом);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0C7BCD" w:rsidRPr="002C22DD" w:rsidRDefault="000C7BCD" w:rsidP="001C4588">
            <w:pPr>
              <w:keepLines w:val="0"/>
              <w:widowControl w:val="0"/>
              <w:overflowPunct/>
              <w:spacing w:line="240" w:lineRule="auto"/>
              <w:ind w:firstLine="284"/>
              <w:rPr>
                <w:color w:val="000000"/>
                <w:sz w:val="18"/>
                <w:szCs w:val="18"/>
                <w:lang w:eastAsia="ar-SA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высота зданий, строений, сооружений от уровня земли - 15 м, высота технологических сооружений устанавливается в соответствии с проектной документацией;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80%</w:t>
            </w:r>
          </w:p>
        </w:tc>
      </w:tr>
      <w:tr w:rsidR="000C7BCD" w:rsidRPr="002C22DD" w:rsidTr="001C4588">
        <w:trPr>
          <w:trHeight w:val="840"/>
        </w:trPr>
        <w:tc>
          <w:tcPr>
            <w:tcW w:w="4928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Обслуживание автотранспорта – 4.9</w:t>
            </w:r>
          </w:p>
        </w:tc>
        <w:tc>
          <w:tcPr>
            <w:tcW w:w="4678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вместимость до 300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машино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-мест, встроенные, пристроенные до 150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машино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-мест;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80/2000 кв. м, а также определяется по заданию на проектирование;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12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70%</w:t>
            </w:r>
          </w:p>
        </w:tc>
      </w:tr>
      <w:tr w:rsidR="000C7BCD" w:rsidRPr="002C22DD" w:rsidTr="001C4588">
        <w:trPr>
          <w:trHeight w:val="840"/>
        </w:trPr>
        <w:tc>
          <w:tcPr>
            <w:tcW w:w="4928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40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lastRenderedPageBreak/>
              <w:t>Железнодорожный транспорт – 7.1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40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Автомобильный транспорт – 7.2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40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1000-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25000 кв.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80%;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высота зданий, строений, сооружений от уровня земли – 15 м, высота технологических сооружений устанавливается в соответствии с проектной документацией;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минимальный отступ зданий, строений и сооружений от красной линии улиц, проездов – 5м;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м.</w:t>
              </w:r>
            </w:smartTag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застройки.</w:t>
            </w:r>
          </w:p>
        </w:tc>
      </w:tr>
    </w:tbl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УСЛОВНО РАЗРЕШЕННЫЕ ВИДЫ И ПАРАМЕТРЫ ИСПОЛЬЗОВАНИЯ</w:t>
      </w: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"/>
        <w:gridCol w:w="3801"/>
        <w:gridCol w:w="5130"/>
      </w:tblGrid>
      <w:tr w:rsidR="000C7BCD" w:rsidRPr="002C22DD" w:rsidTr="001C4588">
        <w:trPr>
          <w:trHeight w:val="552"/>
        </w:trPr>
        <w:tc>
          <w:tcPr>
            <w:tcW w:w="4476" w:type="dxa"/>
            <w:gridSpan w:val="2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ВИДЫ ИСПОЛЬЗОВАНИЯ</w:t>
            </w:r>
          </w:p>
        </w:tc>
        <w:tc>
          <w:tcPr>
            <w:tcW w:w="5130" w:type="dxa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0C7BCD" w:rsidRPr="002C22DD" w:rsidTr="001C4588">
        <w:trPr>
          <w:trHeight w:val="552"/>
        </w:trPr>
        <w:tc>
          <w:tcPr>
            <w:tcW w:w="4476" w:type="dxa"/>
            <w:gridSpan w:val="2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Объекты обслуживания закрытой сети: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Амбулаторно-поликлиническое обслуживание – 3.4.1 (а именно медицинский пункт (при списочной численности от 50 до 300 работающих), фельдшерский или врачебный здравпункт (при списочной численности более 300 работающих)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Общественное питание – 4.6 (а именно комната приема пищи (при численности работающих в смену менее 30 человек), столовая работающая на полуфабрикатах (при численности работающих в смену более 200 человек)</w:t>
            </w:r>
          </w:p>
        </w:tc>
        <w:tc>
          <w:tcPr>
            <w:tcW w:w="5130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1000/5000 кв. м;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515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- 3 м; 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максимальное количество надземных этажей зданий – 5 этажей (включая мансардный этаж);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50%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Площадь медицинского пункта следует принимать: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12 м2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- при списочной численности от 50 до 150 работающих;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smartTag w:uri="urn:schemas-microsoft-com:office:smarttags" w:element="metricconverter">
              <w:smartTagPr>
                <w:attr w:name="ProductID" w:val="18 м2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18 м2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- при списочной численности от 151 до 300 работающих.</w:t>
            </w:r>
          </w:p>
        </w:tc>
      </w:tr>
      <w:tr w:rsidR="000C7BCD" w:rsidRPr="002C22DD" w:rsidTr="001C4588">
        <w:trPr>
          <w:trHeight w:val="552"/>
        </w:trPr>
        <w:tc>
          <w:tcPr>
            <w:tcW w:w="4476" w:type="dxa"/>
            <w:gridSpan w:val="2"/>
          </w:tcPr>
          <w:p w:rsidR="000C7BCD" w:rsidRPr="002C22DD" w:rsidRDefault="000C7BCD" w:rsidP="001C4588">
            <w:pPr>
              <w:keepLines w:val="0"/>
              <w:widowControl w:val="0"/>
              <w:overflowPunct/>
              <w:spacing w:line="240" w:lineRule="auto"/>
              <w:ind w:firstLine="426"/>
              <w:rPr>
                <w:sz w:val="18"/>
                <w:szCs w:val="18"/>
              </w:rPr>
            </w:pPr>
            <w:r w:rsidRPr="002C22DD"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 – 3.9.1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30" w:type="dxa"/>
            <w:vAlign w:val="center"/>
          </w:tcPr>
          <w:p w:rsidR="000C7BCD" w:rsidRPr="002C22DD" w:rsidRDefault="000C7BCD" w:rsidP="001C4588">
            <w:pPr>
              <w:suppressAutoHyphens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минимальная/максимальная площадь земельных участков – 4000/40000 кв. м;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- 5 м; </w:t>
            </w:r>
          </w:p>
          <w:p w:rsidR="000C7BCD" w:rsidRPr="002C22DD" w:rsidRDefault="000C7BCD" w:rsidP="001C4588">
            <w:pPr>
              <w:suppressAutoHyphens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максимальная высота зданий, строений, сооружений от уровня земли – 15 м;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60 %</w:t>
            </w:r>
          </w:p>
        </w:tc>
      </w:tr>
      <w:tr w:rsidR="000C7BCD" w:rsidRPr="002C22DD" w:rsidTr="001C4588">
        <w:trPr>
          <w:trHeight w:val="501"/>
        </w:trPr>
        <w:tc>
          <w:tcPr>
            <w:tcW w:w="4476" w:type="dxa"/>
            <w:gridSpan w:val="2"/>
            <w:shd w:val="clear" w:color="auto" w:fill="auto"/>
          </w:tcPr>
          <w:p w:rsidR="000C7BCD" w:rsidRPr="002C22DD" w:rsidRDefault="000C7BCD" w:rsidP="001C4588">
            <w:pPr>
              <w:keepLines w:val="0"/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Магазины - 4.4</w:t>
            </w:r>
          </w:p>
        </w:tc>
        <w:tc>
          <w:tcPr>
            <w:tcW w:w="5130" w:type="dxa"/>
            <w:shd w:val="clear" w:color="auto" w:fill="auto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1000/5000 кв. м;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максимальное количество надземных этажей зданий – 3 этажей (включая мансардный этаж);</w:t>
            </w:r>
          </w:p>
          <w:p w:rsidR="000C7BCD" w:rsidRPr="002C22DD" w:rsidRDefault="000C7BCD" w:rsidP="001C4588">
            <w:pPr>
              <w:keepLines w:val="0"/>
              <w:suppressAutoHyphens/>
              <w:overflowPunct/>
              <w:autoSpaceDE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максимальный процент застройки в границах земельного участка - 50%</w:t>
            </w:r>
          </w:p>
        </w:tc>
      </w:tr>
      <w:tr w:rsidR="000C7BCD" w:rsidRPr="002C22DD" w:rsidTr="001C4588">
        <w:trPr>
          <w:trHeight w:val="50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C7BCD" w:rsidRPr="002C22DD" w:rsidRDefault="000C7BCD" w:rsidP="001C4588">
            <w:pPr>
              <w:keepLines w:val="0"/>
              <w:widowControl w:val="0"/>
              <w:overflowPunct/>
              <w:spacing w:line="240" w:lineRule="auto"/>
              <w:ind w:right="113"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Объекты придорожного сервиса – 4.9.1</w:t>
            </w:r>
          </w:p>
        </w:tc>
        <w:tc>
          <w:tcPr>
            <w:tcW w:w="3801" w:type="dxa"/>
            <w:shd w:val="clear" w:color="auto" w:fill="auto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Объекты по обслуживанию легковых, грузовых автомобилей с количеством постов не более 10, шиномонтажные мастерские, мойки автомобилей до двух постов, мойки автомобилей с количеством постов от 2 до 5.</w:t>
            </w:r>
          </w:p>
        </w:tc>
        <w:tc>
          <w:tcPr>
            <w:tcW w:w="5130" w:type="dxa"/>
            <w:shd w:val="clear" w:color="auto" w:fill="auto"/>
          </w:tcPr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минимальная/максимальная площадь земельных участков 25/10000 кв. м;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70%.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Расстояние до жилых и общественных зданий от моек автомобилей до двух постов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50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Расстояние до жилых и общественных зданий (кроме моек автомобилей до двух постов) - 100 м.</w:t>
            </w:r>
          </w:p>
        </w:tc>
      </w:tr>
      <w:tr w:rsidR="000C7BCD" w:rsidRPr="002C22DD" w:rsidTr="001C4588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АЗС для легкового автотранспорта, оборудованные системой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закольцовки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паров бензина,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автогазозаправочные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станции с компрессорами внутри помещения с количеством заправок не более 500 автомобилей в сутки без объектов технического обслуживания автомобилей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50/2000 кв. м, а также определяется по заданию на проектирование;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70%.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Расстояние до границ земельных участков дошкольных и школьных образовательных учреждений, лечебных учреждений, до жилых домов и других общественных зданий и 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lastRenderedPageBreak/>
              <w:t xml:space="preserve">сооружений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50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color w:val="000000"/>
                <w:sz w:val="18"/>
                <w:szCs w:val="18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</w:t>
            </w:r>
            <w:r w:rsidRPr="002C22DD">
              <w:rPr>
                <w:color w:val="000000"/>
                <w:sz w:val="18"/>
                <w:szCs w:val="18"/>
              </w:rPr>
              <w:t>казанное расстояние следует определять от топливораздаточных колонок и подземных резервуаров для хранения жидкого топлива.</w:t>
            </w:r>
          </w:p>
        </w:tc>
      </w:tr>
      <w:tr w:rsidR="000C7BCD" w:rsidRPr="002C22DD" w:rsidTr="001C4588">
        <w:trPr>
          <w:trHeight w:val="501"/>
        </w:trPr>
        <w:tc>
          <w:tcPr>
            <w:tcW w:w="675" w:type="dxa"/>
            <w:vMerge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АЗС для заправки грузового и легкового автотранспорта жидким и газовым топливом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минимальная/максимальная площадь земельных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участков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100/3500 кв. м, а также определяется по заданию на проектирование;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5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;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sz w:val="18"/>
                <w:szCs w:val="18"/>
                <w:lang w:eastAsia="zh-CN"/>
              </w:rPr>
              <w:t>максимальный процент застройки в границах земельного участка – 70%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Расстояние до границ земельных участков дошкольных и школьных образовательных учреждений, лечебных учреждений, до жилых домов и других общественных зданий и сооружений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100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suppressAutoHyphens/>
              <w:autoSpaceDN/>
              <w:adjustRightInd/>
              <w:spacing w:line="240" w:lineRule="auto"/>
              <w:ind w:firstLine="426"/>
              <w:textAlignment w:val="baseline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Указанное расстояние следует определять от топливораздаточных колонок и подземных резервуаров для хранения жидкого топлива.</w:t>
            </w:r>
          </w:p>
        </w:tc>
      </w:tr>
      <w:tr w:rsidR="000C7BCD" w:rsidRPr="002C22DD" w:rsidTr="000C7BCD">
        <w:trPr>
          <w:trHeight w:val="501"/>
        </w:trPr>
        <w:tc>
          <w:tcPr>
            <w:tcW w:w="4476" w:type="dxa"/>
            <w:gridSpan w:val="2"/>
            <w:shd w:val="clear" w:color="auto" w:fill="auto"/>
          </w:tcPr>
          <w:p w:rsidR="000C7BCD" w:rsidRPr="0064537B" w:rsidRDefault="000C7BCD" w:rsidP="000C7BCD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64537B"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  <w:t>Ритуальная деятельность – 12.1</w:t>
            </w:r>
          </w:p>
          <w:p w:rsidR="000C7BCD" w:rsidRPr="0064537B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highlight w:val="yellow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130" w:type="dxa"/>
            <w:shd w:val="clear" w:color="auto" w:fill="auto"/>
            <w:vAlign w:val="center"/>
          </w:tcPr>
          <w:p w:rsidR="000C7BCD" w:rsidRPr="0064537B" w:rsidRDefault="000C7BCD" w:rsidP="000C7BCD">
            <w:pPr>
              <w:keepLines w:val="0"/>
              <w:overflowPunct/>
              <w:spacing w:line="240" w:lineRule="auto"/>
              <w:ind w:firstLine="426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4537B">
              <w:rPr>
                <w:bCs/>
                <w:color w:val="000000"/>
                <w:sz w:val="16"/>
                <w:szCs w:val="16"/>
                <w:highlight w:val="yellow"/>
              </w:rPr>
              <w:t>минимальный/максимальный размер земельного участка – 10/400000 кв.м;</w:t>
            </w:r>
          </w:p>
          <w:p w:rsidR="000C7BCD" w:rsidRPr="0064537B" w:rsidRDefault="000C7BCD" w:rsidP="000C7BCD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64537B"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  <w:t>максимальный процент застройки в границах земельного участка – 70%;</w:t>
            </w:r>
          </w:p>
          <w:p w:rsidR="000C7BCD" w:rsidRPr="0064537B" w:rsidRDefault="000C7BCD" w:rsidP="000C7BCD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64537B"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  <w:t xml:space="preserve">минимальный отступ от границ земельного участка, за пределами которых запрещено строительство зданий, строений, сооружений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537B">
                <w:rPr>
                  <w:rFonts w:eastAsia="SimSun"/>
                  <w:color w:val="000000"/>
                  <w:sz w:val="16"/>
                  <w:szCs w:val="16"/>
                  <w:highlight w:val="yellow"/>
                  <w:lang w:eastAsia="zh-CN"/>
                </w:rPr>
                <w:t>3 м</w:t>
              </w:r>
            </w:smartTag>
            <w:r w:rsidRPr="0064537B"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  <w:t>;</w:t>
            </w:r>
          </w:p>
          <w:p w:rsidR="000C7BCD" w:rsidRPr="0064537B" w:rsidRDefault="000C7BCD" w:rsidP="000C7BCD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64537B">
              <w:rPr>
                <w:rFonts w:eastAsia="SimSun"/>
                <w:color w:val="000000"/>
                <w:sz w:val="16"/>
                <w:szCs w:val="16"/>
                <w:highlight w:val="yellow"/>
                <w:lang w:eastAsia="zh-CN"/>
              </w:rPr>
              <w:t xml:space="preserve">максимальная высота зданий, строений, сооружений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537B">
                <w:rPr>
                  <w:rFonts w:eastAsia="SimSun"/>
                  <w:color w:val="000000"/>
                  <w:sz w:val="16"/>
                  <w:szCs w:val="16"/>
                  <w:highlight w:val="yellow"/>
                  <w:lang w:eastAsia="zh-CN"/>
                </w:rPr>
                <w:t>30 м</w:t>
              </w:r>
            </w:smartTag>
          </w:p>
        </w:tc>
      </w:tr>
    </w:tbl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</w:p>
    <w:p w:rsidR="000C7BCD" w:rsidRPr="002C22DD" w:rsidRDefault="000C7BCD" w:rsidP="000C7BCD">
      <w:pPr>
        <w:keepLines w:val="0"/>
        <w:tabs>
          <w:tab w:val="left" w:pos="2520"/>
        </w:tabs>
        <w:overflowPunct/>
        <w:autoSpaceDE/>
        <w:autoSpaceDN/>
        <w:adjustRightInd/>
        <w:spacing w:line="240" w:lineRule="auto"/>
        <w:ind w:firstLine="426"/>
        <w:jc w:val="left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C7BCD" w:rsidRPr="002C22DD" w:rsidTr="001C4588">
        <w:trPr>
          <w:trHeight w:val="552"/>
        </w:trPr>
        <w:tc>
          <w:tcPr>
            <w:tcW w:w="4644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ВИДЫ ИСПОЛЬЗОВАНИЯ</w:t>
            </w:r>
          </w:p>
        </w:tc>
        <w:tc>
          <w:tcPr>
            <w:tcW w:w="4962" w:type="dxa"/>
            <w:vAlign w:val="center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 w:rsidR="000C7BCD" w:rsidRPr="002C22DD" w:rsidTr="001C4588">
        <w:trPr>
          <w:trHeight w:val="552"/>
        </w:trPr>
        <w:tc>
          <w:tcPr>
            <w:tcW w:w="4644" w:type="dxa"/>
          </w:tcPr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объекты пожарной охраны, разрешение на строительство которых не требуется; 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зеленые насаждения;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sz w:val="18"/>
                <w:szCs w:val="18"/>
              </w:rPr>
              <w:t>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      </w:r>
          </w:p>
          <w:p w:rsidR="000C7BCD" w:rsidRPr="002C22DD" w:rsidRDefault="000C7BCD" w:rsidP="001C4588">
            <w:pPr>
              <w:keepLines w:val="0"/>
              <w:tabs>
                <w:tab w:val="left" w:pos="2520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Предельные (минимальные/максимальные) размеры земельных участков, в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т.ч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. их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площадь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определяются на основании параметров основного или  условно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284"/>
              <w:rPr>
                <w:rFonts w:eastAsia="Calibri"/>
                <w:sz w:val="18"/>
                <w:szCs w:val="18"/>
              </w:rPr>
            </w:pPr>
            <w:r w:rsidRPr="002C22DD">
              <w:rPr>
                <w:rFonts w:eastAsia="Calibri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 w:rsidRPr="002C22DD">
              <w:rPr>
                <w:rFonts w:eastAsia="Calibri"/>
                <w:sz w:val="18"/>
                <w:szCs w:val="18"/>
              </w:rPr>
              <w:t>сооружений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определяются на основании параметров основного или  условно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Предельное количество этажей или предельная высота зданий, строений, сооружений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Максимальный процент застройки в границах земельного участка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использования.</w:t>
            </w:r>
          </w:p>
        </w:tc>
      </w:tr>
      <w:tr w:rsidR="000C7BCD" w:rsidRPr="002C22DD" w:rsidTr="001C4588">
        <w:trPr>
          <w:trHeight w:val="552"/>
        </w:trPr>
        <w:tc>
          <w:tcPr>
            <w:tcW w:w="4644" w:type="dxa"/>
          </w:tcPr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резервные участки на территории предприятия</w:t>
            </w:r>
          </w:p>
        </w:tc>
        <w:tc>
          <w:tcPr>
            <w:tcW w:w="4962" w:type="dxa"/>
            <w:vAlign w:val="center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Предельные (минимальные/максимальные) размеры земельных участков, в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т.ч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. их площадь   – определяются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</w:t>
            </w:r>
            <w:r w:rsidRPr="002C22DD">
              <w:rPr>
                <w:rFonts w:eastAsia="SimSun"/>
                <w:sz w:val="18"/>
                <w:szCs w:val="18"/>
                <w:lang w:eastAsia="zh-CN"/>
              </w:rPr>
              <w:t>, в соответствии с заданием на проектирование для размещения на них зданий и сооружений в случае расширения и модернизации производства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Calibri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– определяются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</w:t>
            </w:r>
            <w:r w:rsidRPr="002C22DD">
              <w:rPr>
                <w:rFonts w:eastAsia="SimSun"/>
                <w:sz w:val="18"/>
                <w:szCs w:val="18"/>
                <w:lang w:eastAsia="zh-CN"/>
              </w:rPr>
              <w:t>, в соответствии с заданием на проектирование для размещения на них зданий и сооружений в случае расширения и модернизации производства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Предельное количество этажей или предельная высота зданий, строений, сооружений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</w:t>
            </w:r>
            <w:r w:rsidRPr="002C22DD">
              <w:rPr>
                <w:rFonts w:eastAsia="SimSun"/>
                <w:sz w:val="18"/>
                <w:szCs w:val="18"/>
                <w:lang w:eastAsia="zh-CN"/>
              </w:rPr>
              <w:t xml:space="preserve">, в соответствии с заданием на </w:t>
            </w:r>
            <w:r w:rsidRPr="002C22DD">
              <w:rPr>
                <w:rFonts w:eastAsia="SimSun"/>
                <w:sz w:val="18"/>
                <w:szCs w:val="18"/>
                <w:lang w:eastAsia="zh-CN"/>
              </w:rPr>
              <w:lastRenderedPageBreak/>
              <w:t>проектирование для размещения на них зданий и сооружений в случае расширения и модернизации производства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Максимальный процент застройки в границах земельного участка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</w:t>
            </w:r>
            <w:r w:rsidRPr="002C22DD">
              <w:rPr>
                <w:rFonts w:eastAsia="SimSun"/>
                <w:sz w:val="18"/>
                <w:szCs w:val="18"/>
                <w:lang w:eastAsia="zh-CN"/>
              </w:rPr>
              <w:t>, в соответствии с заданием на проектирование для размещения на них зданий и сооружений в случае расширения и модернизации производства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tr w:rsidR="000C7BCD" w:rsidRPr="002C22DD" w:rsidTr="001C4588">
        <w:trPr>
          <w:trHeight w:val="552"/>
        </w:trPr>
        <w:tc>
          <w:tcPr>
            <w:tcW w:w="4644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jc w:val="left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lastRenderedPageBreak/>
              <w:t>площадки для мусоросборников</w:t>
            </w:r>
          </w:p>
        </w:tc>
        <w:tc>
          <w:tcPr>
            <w:tcW w:w="4962" w:type="dxa"/>
          </w:tcPr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Предельные (минимальные/максимальные) размеры земельных участков, в </w:t>
            </w:r>
            <w:proofErr w:type="spell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т.ч</w:t>
            </w:r>
            <w:proofErr w:type="spell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. их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площадь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определяются на основании параметров основного или  условно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overflowPunct/>
              <w:spacing w:line="240" w:lineRule="auto"/>
              <w:ind w:firstLine="284"/>
              <w:rPr>
                <w:rFonts w:eastAsia="Calibri"/>
                <w:sz w:val="18"/>
                <w:szCs w:val="18"/>
              </w:rPr>
            </w:pPr>
            <w:r w:rsidRPr="002C22DD">
              <w:rPr>
                <w:rFonts w:eastAsia="Calibri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proofErr w:type="gramStart"/>
            <w:r w:rsidRPr="002C22DD">
              <w:rPr>
                <w:rFonts w:eastAsia="Calibri"/>
                <w:sz w:val="18"/>
                <w:szCs w:val="18"/>
              </w:rPr>
              <w:t>сооружений</w:t>
            </w: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 –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определяются на основании параметров основного или  условно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tabs>
                <w:tab w:val="left" w:pos="1134"/>
              </w:tabs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Предельное количество этажей или предельная высота зданий, строений, сооружений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Максимальный процент застройки в границах земельного участка – определяется на основании параметров основного </w:t>
            </w:r>
            <w:proofErr w:type="gramStart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или  условно</w:t>
            </w:r>
            <w:proofErr w:type="gramEnd"/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 разрешенного видов использования.</w:t>
            </w:r>
          </w:p>
          <w:p w:rsidR="000C7BCD" w:rsidRPr="002C22DD" w:rsidRDefault="000C7BCD" w:rsidP="001C4588">
            <w:pPr>
              <w:keepLines w:val="0"/>
              <w:overflowPunct/>
              <w:autoSpaceDE/>
              <w:autoSpaceDN/>
              <w:adjustRightInd/>
              <w:spacing w:line="240" w:lineRule="auto"/>
              <w:ind w:firstLine="426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Расстояние от площадок для мусоросборников до производственных и вспомогательных помещений не менее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22DD">
                <w:rPr>
                  <w:rFonts w:eastAsia="SimSun"/>
                  <w:color w:val="000000"/>
                  <w:sz w:val="18"/>
                  <w:szCs w:val="18"/>
                  <w:lang w:eastAsia="zh-CN"/>
                </w:rPr>
                <w:t>30 м</w:t>
              </w:r>
            </w:smartTag>
            <w:r w:rsidRPr="002C22DD">
              <w:rPr>
                <w:rFonts w:eastAsia="SimSu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Примечание (общее):</w:t>
      </w:r>
    </w:p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Размещение производственной территориальной зоны не допускается: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а) в составе рекреационных зон;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б) на землях особо охраняемых территорий, в том числе: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первом поясе зоны санитарной охраны источников водоснабжения;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 xml:space="preserve">в </w:t>
      </w:r>
      <w:proofErr w:type="spellStart"/>
      <w:r w:rsidRPr="002C22DD">
        <w:rPr>
          <w:rFonts w:eastAsia="SimSun"/>
          <w:color w:val="000000"/>
          <w:sz w:val="18"/>
          <w:szCs w:val="18"/>
          <w:lang w:eastAsia="zh-CN"/>
        </w:rPr>
        <w:t>водоохранных</w:t>
      </w:r>
      <w:proofErr w:type="spellEnd"/>
      <w:r w:rsidRPr="002C22DD">
        <w:rPr>
          <w:rFonts w:eastAsia="SimSun"/>
          <w:color w:val="000000"/>
          <w:sz w:val="18"/>
          <w:szCs w:val="18"/>
          <w:lang w:eastAsia="zh-CN"/>
        </w:rPr>
        <w:t xml:space="preserve"> и прибрежных зонах рек, морей;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в зонах возможного катастрофического затопления в результате разрушения плотин или дамб.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 xml:space="preserve"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2C22DD">
          <w:rPr>
            <w:rFonts w:eastAsia="SimSun"/>
            <w:color w:val="000000"/>
            <w:sz w:val="18"/>
            <w:szCs w:val="18"/>
            <w:lang w:eastAsia="zh-CN"/>
          </w:rPr>
          <w:t>0,5 м</w:t>
        </w:r>
      </w:smartTag>
      <w:r w:rsidRPr="002C22DD">
        <w:rPr>
          <w:rFonts w:eastAsia="SimSun"/>
          <w:color w:val="000000"/>
          <w:sz w:val="18"/>
          <w:szCs w:val="18"/>
          <w:lang w:eastAsia="zh-CN"/>
        </w:rPr>
        <w:t xml:space="preserve">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гидротехнические сооружения.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 xml:space="preserve">На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</w:t>
      </w:r>
      <w:smartTag w:uri="urn:schemas-microsoft-com:office:smarttags" w:element="metricconverter">
        <w:smartTagPr>
          <w:attr w:name="ProductID" w:val="100 м"/>
        </w:smartTagPr>
        <w:r w:rsidRPr="002C22DD">
          <w:rPr>
            <w:rFonts w:eastAsia="SimSun"/>
            <w:color w:val="000000"/>
            <w:sz w:val="18"/>
            <w:szCs w:val="18"/>
            <w:lang w:eastAsia="zh-CN"/>
          </w:rPr>
          <w:t>100 м</w:t>
        </w:r>
      </w:smartTag>
      <w:r w:rsidRPr="002C22DD">
        <w:rPr>
          <w:rFonts w:eastAsia="SimSun"/>
          <w:color w:val="000000"/>
          <w:sz w:val="18"/>
          <w:szCs w:val="18"/>
          <w:lang w:eastAsia="zh-CN"/>
        </w:rPr>
        <w:t>.</w:t>
      </w:r>
    </w:p>
    <w:p w:rsidR="000C7BCD" w:rsidRPr="002C22DD" w:rsidRDefault="000C7BCD" w:rsidP="000C7BCD">
      <w:pPr>
        <w:keepLines w:val="0"/>
        <w:overflowPunct/>
        <w:autoSpaceDE/>
        <w:autoSpaceDN/>
        <w:adjustRightInd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 xml:space="preserve">Размер санитарно-защитной зоны предприятий мясной промышленности до границы животноводческих, птицеводческих и звероводческих ферм должен быть </w:t>
      </w:r>
      <w:smartTag w:uri="urn:schemas-microsoft-com:office:smarttags" w:element="metricconverter">
        <w:smartTagPr>
          <w:attr w:name="ProductID" w:val="1000 м"/>
        </w:smartTagPr>
        <w:r w:rsidRPr="002C22DD">
          <w:rPr>
            <w:rFonts w:eastAsia="SimSun"/>
            <w:color w:val="000000"/>
            <w:sz w:val="18"/>
            <w:szCs w:val="18"/>
            <w:lang w:eastAsia="zh-CN"/>
          </w:rPr>
          <w:t>1000 м</w:t>
        </w:r>
      </w:smartTag>
      <w:r w:rsidRPr="002C22DD">
        <w:rPr>
          <w:rFonts w:eastAsia="SimSun"/>
          <w:color w:val="000000"/>
          <w:sz w:val="18"/>
          <w:szCs w:val="18"/>
          <w:lang w:eastAsia="zh-CN"/>
        </w:rPr>
        <w:t>.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0C7BCD" w:rsidRPr="002C22DD" w:rsidRDefault="000C7BCD" w:rsidP="000C7BCD">
      <w:pPr>
        <w:keepLines w:val="0"/>
        <w:overflowPunct/>
        <w:spacing w:line="240" w:lineRule="auto"/>
        <w:ind w:firstLine="426"/>
        <w:rPr>
          <w:rFonts w:eastAsia="SimSun"/>
          <w:color w:val="000000"/>
          <w:sz w:val="18"/>
          <w:szCs w:val="18"/>
          <w:lang w:eastAsia="zh-CN"/>
        </w:rPr>
      </w:pPr>
      <w:r w:rsidRPr="002C22DD">
        <w:rPr>
          <w:rFonts w:eastAsia="SimSun"/>
          <w:color w:val="000000"/>
          <w:sz w:val="18"/>
          <w:szCs w:val="18"/>
          <w:lang w:eastAsia="zh-CN"/>
        </w:rPr>
        <w:t>Запрещается проектирование указанных предприятий на территории бывших кладбищ, скотомогильников, свалок.</w:t>
      </w:r>
    </w:p>
    <w:p w:rsidR="000C7BCD" w:rsidRPr="002C22DD" w:rsidRDefault="000C7BCD" w:rsidP="000C7BCD">
      <w:pPr>
        <w:rPr>
          <w:rFonts w:eastAsia="SimSun"/>
        </w:rPr>
      </w:pPr>
    </w:p>
    <w:p w:rsidR="004B4C1F" w:rsidRPr="000C7BCD" w:rsidRDefault="004B4C1F" w:rsidP="000C7BCD"/>
    <w:sectPr w:rsidR="004B4C1F" w:rsidRPr="000C7BCD" w:rsidSect="003A423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ED" w:rsidRDefault="00ED40ED" w:rsidP="003A423D">
      <w:pPr>
        <w:spacing w:line="240" w:lineRule="auto"/>
      </w:pPr>
      <w:r>
        <w:separator/>
      </w:r>
    </w:p>
  </w:endnote>
  <w:endnote w:type="continuationSeparator" w:id="0">
    <w:p w:rsidR="00ED40ED" w:rsidRDefault="00ED40ED" w:rsidP="003A4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ED" w:rsidRDefault="00ED40ED" w:rsidP="003A423D">
      <w:pPr>
        <w:spacing w:line="240" w:lineRule="auto"/>
      </w:pPr>
      <w:r>
        <w:separator/>
      </w:r>
    </w:p>
  </w:footnote>
  <w:footnote w:type="continuationSeparator" w:id="0">
    <w:p w:rsidR="00ED40ED" w:rsidRDefault="00ED40ED" w:rsidP="003A4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779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A423D" w:rsidRPr="003A423D" w:rsidRDefault="003A423D">
        <w:pPr>
          <w:pStyle w:val="a4"/>
          <w:jc w:val="center"/>
          <w:rPr>
            <w:sz w:val="16"/>
            <w:szCs w:val="16"/>
          </w:rPr>
        </w:pPr>
        <w:r w:rsidRPr="003A423D">
          <w:rPr>
            <w:sz w:val="16"/>
            <w:szCs w:val="16"/>
          </w:rPr>
          <w:fldChar w:fldCharType="begin"/>
        </w:r>
        <w:r w:rsidRPr="003A423D">
          <w:rPr>
            <w:sz w:val="16"/>
            <w:szCs w:val="16"/>
          </w:rPr>
          <w:instrText xml:space="preserve"> PAGE   \* MERGEFORMAT </w:instrText>
        </w:r>
        <w:r w:rsidRPr="003A423D">
          <w:rPr>
            <w:sz w:val="16"/>
            <w:szCs w:val="16"/>
          </w:rPr>
          <w:fldChar w:fldCharType="separate"/>
        </w:r>
        <w:r w:rsidR="0064537B">
          <w:rPr>
            <w:noProof/>
            <w:sz w:val="16"/>
            <w:szCs w:val="16"/>
          </w:rPr>
          <w:t>5</w:t>
        </w:r>
        <w:r w:rsidRPr="003A423D">
          <w:rPr>
            <w:sz w:val="16"/>
            <w:szCs w:val="16"/>
          </w:rPr>
          <w:fldChar w:fldCharType="end"/>
        </w:r>
      </w:p>
    </w:sdtContent>
  </w:sdt>
  <w:p w:rsidR="003A423D" w:rsidRDefault="003A4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D"/>
    <w:rsid w:val="000640F9"/>
    <w:rsid w:val="000C7BCD"/>
    <w:rsid w:val="00182D4E"/>
    <w:rsid w:val="001B1B16"/>
    <w:rsid w:val="001E2E07"/>
    <w:rsid w:val="001F5FD6"/>
    <w:rsid w:val="00251A69"/>
    <w:rsid w:val="0027103A"/>
    <w:rsid w:val="002C265F"/>
    <w:rsid w:val="002C63C9"/>
    <w:rsid w:val="002D12F2"/>
    <w:rsid w:val="003166F2"/>
    <w:rsid w:val="00316ED0"/>
    <w:rsid w:val="00331C67"/>
    <w:rsid w:val="00382FEC"/>
    <w:rsid w:val="003A423D"/>
    <w:rsid w:val="003B0D4C"/>
    <w:rsid w:val="00464BE8"/>
    <w:rsid w:val="004B4C1F"/>
    <w:rsid w:val="004B7183"/>
    <w:rsid w:val="004C7932"/>
    <w:rsid w:val="0053240F"/>
    <w:rsid w:val="00595996"/>
    <w:rsid w:val="005B1ACF"/>
    <w:rsid w:val="0064537B"/>
    <w:rsid w:val="007374D8"/>
    <w:rsid w:val="007550A6"/>
    <w:rsid w:val="007851F0"/>
    <w:rsid w:val="00923008"/>
    <w:rsid w:val="009F307A"/>
    <w:rsid w:val="00C50B7F"/>
    <w:rsid w:val="00CD37FB"/>
    <w:rsid w:val="00DE1149"/>
    <w:rsid w:val="00E170AA"/>
    <w:rsid w:val="00ED40ED"/>
    <w:rsid w:val="00F2325F"/>
    <w:rsid w:val="00F35AA0"/>
    <w:rsid w:val="00F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0A0BC3-0B08-4EF1-B73B-7D21625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3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03A"/>
    <w:pPr>
      <w:keepLines w:val="0"/>
      <w:overflowPunct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03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7103A"/>
    <w:pPr>
      <w:spacing w:after="0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2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23D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A42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23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puhanova_d</dc:creator>
  <cp:lastModifiedBy>Мажневская Светлана</cp:lastModifiedBy>
  <cp:revision>5</cp:revision>
  <dcterms:created xsi:type="dcterms:W3CDTF">2017-06-01T05:26:00Z</dcterms:created>
  <dcterms:modified xsi:type="dcterms:W3CDTF">2018-02-01T12:07:00Z</dcterms:modified>
</cp:coreProperties>
</file>