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428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428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428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.2017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C42887" w:rsidRDefault="00CB3444" w:rsidP="00C42887">
      <w:pPr>
        <w:pStyle w:val="a8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C42887" w:rsidRPr="00C428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Требований к осуществлению регулярных перевозок по нерегулируемым тарифам на территории муниципального образования город Горячий Ключ» </w:t>
      </w:r>
    </w:p>
    <w:p w:rsidR="00CB3444" w:rsidRDefault="00580CBF" w:rsidP="00564A5E">
      <w:pPr>
        <w:pStyle w:val="a8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неса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Горячий Ключ рассмотрело поступивший </w:t>
      </w:r>
      <w:r w:rsidR="00C428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887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C42887" w:rsidRPr="00C4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Требований к осуществлению регулярных перевозок по нерегулируемым тарифам на территории муниципального образования город Горячий Ключ»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2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сферы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ботчик) и сообщает следующее.</w:t>
      </w:r>
    </w:p>
    <w:p w:rsidR="00CB3444" w:rsidRDefault="00CB3444" w:rsidP="006608C7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Pr="001A195F" w:rsidRDefault="001D6D4F" w:rsidP="001A195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F49A3">
        <w:rPr>
          <w:rFonts w:ascii="Times New Roman" w:hAnsi="Times New Roman" w:cs="Times New Roman"/>
          <w:sz w:val="28"/>
          <w:szCs w:val="28"/>
        </w:rPr>
        <w:t>1. </w:t>
      </w:r>
      <w:r w:rsidR="00C42887">
        <w:rPr>
          <w:rFonts w:ascii="Times New Roman" w:hAnsi="Times New Roman" w:cs="Times New Roman"/>
          <w:sz w:val="28"/>
          <w:szCs w:val="28"/>
        </w:rPr>
        <w:t xml:space="preserve">Правовое регулирование направлено на </w:t>
      </w:r>
      <w:r w:rsidR="00C42887">
        <w:rPr>
          <w:rFonts w:ascii="Times New Roman" w:hAnsi="Times New Roman"/>
          <w:sz w:val="28"/>
          <w:szCs w:val="28"/>
        </w:rPr>
        <w:t>о</w:t>
      </w:r>
      <w:r w:rsidR="00C42887">
        <w:rPr>
          <w:rFonts w:ascii="Times New Roman" w:hAnsi="Times New Roman"/>
          <w:sz w:val="28"/>
          <w:szCs w:val="28"/>
        </w:rPr>
        <w:t>пределен</w:t>
      </w:r>
      <w:r w:rsidR="00C42887">
        <w:rPr>
          <w:rFonts w:ascii="Times New Roman" w:hAnsi="Times New Roman"/>
          <w:sz w:val="28"/>
          <w:szCs w:val="28"/>
        </w:rPr>
        <w:t>ие</w:t>
      </w:r>
      <w:r w:rsidR="00C42887">
        <w:rPr>
          <w:rFonts w:ascii="Times New Roman" w:hAnsi="Times New Roman"/>
          <w:sz w:val="28"/>
          <w:szCs w:val="28"/>
        </w:rPr>
        <w:t xml:space="preserve"> требовани</w:t>
      </w:r>
      <w:r w:rsidR="00C42887">
        <w:rPr>
          <w:rFonts w:ascii="Times New Roman" w:hAnsi="Times New Roman"/>
          <w:sz w:val="28"/>
          <w:szCs w:val="28"/>
        </w:rPr>
        <w:t>й</w:t>
      </w:r>
      <w:r w:rsidR="00C42887">
        <w:rPr>
          <w:rFonts w:ascii="Times New Roman" w:hAnsi="Times New Roman"/>
          <w:sz w:val="28"/>
          <w:szCs w:val="28"/>
        </w:rPr>
        <w:t xml:space="preserve"> к осуществлению регулярных перевозок по нерегулируемым тарифам на территории муниципального образования город Горячий Ключ</w:t>
      </w:r>
      <w:r w:rsidR="001A195F">
        <w:rPr>
          <w:rFonts w:ascii="Times New Roman" w:hAnsi="Times New Roman"/>
          <w:sz w:val="28"/>
          <w:szCs w:val="28"/>
        </w:rPr>
        <w:t>.</w:t>
      </w:r>
    </w:p>
    <w:p w:rsidR="006A52DC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42887">
        <w:rPr>
          <w:rFonts w:ascii="Times New Roman" w:hAnsi="Times New Roman"/>
          <w:bCs/>
          <w:sz w:val="28"/>
          <w:szCs w:val="28"/>
        </w:rPr>
        <w:t>П</w:t>
      </w:r>
      <w:r w:rsidR="00C42887">
        <w:rPr>
          <w:rFonts w:ascii="Times New Roman" w:hAnsi="Times New Roman"/>
          <w:bCs/>
          <w:sz w:val="28"/>
          <w:szCs w:val="28"/>
        </w:rPr>
        <w:t xml:space="preserve">роект настоящего </w:t>
      </w:r>
      <w:bookmarkStart w:id="0" w:name="_GoBack"/>
      <w:bookmarkEnd w:id="0"/>
      <w:r w:rsidR="00C42887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 Горячий Ключ Краснодарского края </w:t>
      </w:r>
      <w:r w:rsidR="00C42887" w:rsidRPr="00AA7E17">
        <w:rPr>
          <w:rFonts w:ascii="Times New Roman" w:hAnsi="Times New Roman"/>
          <w:sz w:val="28"/>
          <w:szCs w:val="28"/>
        </w:rPr>
        <w:t>р</w:t>
      </w:r>
      <w:r w:rsidR="00C42887">
        <w:rPr>
          <w:rFonts w:ascii="Times New Roman" w:hAnsi="Times New Roman"/>
          <w:sz w:val="28"/>
          <w:szCs w:val="28"/>
        </w:rPr>
        <w:t>азработан в целях организации регулярных перевозок по нерегулируемым тарифам на муниципальных городских и пригородных маршрутах регулярного сообщения на территории муниципального образования город Горячий Ключ</w:t>
      </w:r>
      <w:r w:rsidR="001A19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9A3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 w:rsidRP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t>Проектом   предусмотрены   положения, которыми   изменяется содержание прав и обязанностей потенциальных адресатов правового регулирования в час</w:t>
      </w:r>
      <w:r w:rsidR="001A195F" w:rsidRP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соблюдения условий размещения нестационарных торговых объектов на территории муниципальног</w:t>
      </w:r>
      <w:r w:rsid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образования город </w:t>
      </w:r>
      <w:r w:rsid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Горячий Клю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ч.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возникновению у указанных субъектов дополнительных 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r w:rsidR="00BF75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195F" w:rsidRPr="00C42887" w:rsidRDefault="00C42887" w:rsidP="00C42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индивидуальные предприниматели, уполномоченные участники договора простого товарищества</w:t>
      </w:r>
      <w:r w:rsidRPr="00AA7E17">
        <w:rPr>
          <w:rFonts w:ascii="Times New Roman" w:hAnsi="Times New Roman"/>
          <w:sz w:val="28"/>
          <w:szCs w:val="28"/>
        </w:rPr>
        <w:t>.</w:t>
      </w:r>
    </w:p>
    <w:p w:rsidR="00D80640" w:rsidRDefault="001D6D4F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недостижения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4 декабря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проводимых публичных консультациях была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щена на официальном сайте администрации муниципального образования город Горячий Ключ – </w:t>
      </w:r>
      <w:hyperlink r:id="rId10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A3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способ-ствующих их введению, оказывающих негативное влияние на отрасли экономики муниципального образования город Горячий Ключ, способст-вующих возникновению необоснованных расходов физических и юридических лиц в сфере предпринимательской деятельности, а также необоснованных 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A3" w:rsidRDefault="003F49A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                                 Т.А. Лодочникова</w:t>
      </w:r>
    </w:p>
    <w:p w:rsidR="008F7194" w:rsidRPr="00C41673" w:rsidRDefault="008F7194" w:rsidP="00C41673">
      <w:pPr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002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A195F"/>
    <w:rsid w:val="001D6D4F"/>
    <w:rsid w:val="001F419D"/>
    <w:rsid w:val="0022444D"/>
    <w:rsid w:val="002C7D97"/>
    <w:rsid w:val="00367A8E"/>
    <w:rsid w:val="0038668D"/>
    <w:rsid w:val="003F49A3"/>
    <w:rsid w:val="005053A7"/>
    <w:rsid w:val="00546FB1"/>
    <w:rsid w:val="00564A5E"/>
    <w:rsid w:val="00580CBF"/>
    <w:rsid w:val="00582ED7"/>
    <w:rsid w:val="005C5699"/>
    <w:rsid w:val="006608C7"/>
    <w:rsid w:val="0066312F"/>
    <w:rsid w:val="00690064"/>
    <w:rsid w:val="006A52DC"/>
    <w:rsid w:val="006D72C4"/>
    <w:rsid w:val="007148A1"/>
    <w:rsid w:val="00805A88"/>
    <w:rsid w:val="008B2DF5"/>
    <w:rsid w:val="008F2525"/>
    <w:rsid w:val="008F7194"/>
    <w:rsid w:val="00901628"/>
    <w:rsid w:val="00953186"/>
    <w:rsid w:val="00997FAD"/>
    <w:rsid w:val="009F7E5E"/>
    <w:rsid w:val="00A75D36"/>
    <w:rsid w:val="00A80504"/>
    <w:rsid w:val="00A9791C"/>
    <w:rsid w:val="00AB064F"/>
    <w:rsid w:val="00AF5823"/>
    <w:rsid w:val="00BF7545"/>
    <w:rsid w:val="00C034B7"/>
    <w:rsid w:val="00C159E2"/>
    <w:rsid w:val="00C41673"/>
    <w:rsid w:val="00C42887"/>
    <w:rsid w:val="00CB3444"/>
    <w:rsid w:val="00D63176"/>
    <w:rsid w:val="00D6354F"/>
    <w:rsid w:val="00D80640"/>
    <w:rsid w:val="00D86351"/>
    <w:rsid w:val="00E66453"/>
    <w:rsid w:val="00E75A70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D326-78DC-4326-AF94-9DC19EF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lavrutich_v</dc:creator>
  <cp:lastModifiedBy>Кортунова Анна</cp:lastModifiedBy>
  <cp:revision>2</cp:revision>
  <cp:lastPrinted>2017-12-18T06:53:00Z</cp:lastPrinted>
  <dcterms:created xsi:type="dcterms:W3CDTF">2017-12-18T06:54:00Z</dcterms:created>
  <dcterms:modified xsi:type="dcterms:W3CDTF">2017-12-18T06:54:00Z</dcterms:modified>
</cp:coreProperties>
</file>