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9508E5" w:rsidTr="007357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508E5" w:rsidRDefault="009508E5" w:rsidP="0073577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08E5" w:rsidRDefault="009508E5" w:rsidP="0073577D">
            <w:pPr>
              <w:tabs>
                <w:tab w:val="left" w:pos="162"/>
                <w:tab w:val="left" w:pos="747"/>
              </w:tabs>
              <w:spacing w:line="252" w:lineRule="auto"/>
              <w:ind w:left="74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508E5" w:rsidRDefault="009508E5" w:rsidP="009508E5">
      <w:pPr>
        <w:tabs>
          <w:tab w:val="left" w:pos="5103"/>
          <w:tab w:val="left" w:pos="5245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13 от 0</w:t>
      </w:r>
      <w:r w:rsidR="001968E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.09.2018 г.</w:t>
      </w:r>
    </w:p>
    <w:p w:rsidR="009508E5" w:rsidRDefault="009508E5" w:rsidP="009508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08E5" w:rsidRDefault="009508E5" w:rsidP="009508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5563">
        <w:rPr>
          <w:rFonts w:ascii="Times New Roman" w:hAnsi="Times New Roman"/>
          <w:b/>
          <w:sz w:val="28"/>
          <w:szCs w:val="28"/>
        </w:rPr>
        <w:t xml:space="preserve">По результатам оценки регулирующего воздействия проекта нормативного правового акта </w:t>
      </w:r>
    </w:p>
    <w:p w:rsidR="001968ED" w:rsidRDefault="009508E5" w:rsidP="009508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5563">
        <w:rPr>
          <w:rFonts w:ascii="Times New Roman" w:hAnsi="Times New Roman"/>
          <w:b/>
          <w:sz w:val="28"/>
          <w:szCs w:val="28"/>
        </w:rPr>
        <w:t>«</w:t>
      </w:r>
      <w:r w:rsidR="00CC100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905563">
        <w:rPr>
          <w:rFonts w:ascii="Times New Roman" w:hAnsi="Times New Roman"/>
          <w:b/>
          <w:sz w:val="28"/>
          <w:szCs w:val="28"/>
        </w:rPr>
        <w:t>Поряд</w:t>
      </w:r>
      <w:r w:rsidR="00CC1003">
        <w:rPr>
          <w:rFonts w:ascii="Times New Roman" w:hAnsi="Times New Roman"/>
          <w:b/>
          <w:sz w:val="28"/>
          <w:szCs w:val="28"/>
        </w:rPr>
        <w:t>ка</w:t>
      </w:r>
      <w:r w:rsidRPr="00905563">
        <w:rPr>
          <w:rFonts w:ascii="Times New Roman" w:hAnsi="Times New Roman"/>
          <w:b/>
          <w:sz w:val="28"/>
          <w:szCs w:val="28"/>
        </w:rPr>
        <w:t xml:space="preserve"> размещения нестационарных торговых объектов и объектов по предоставлению услуг на земельных участках, предоставленных в постоянное (бессрочное) пользование муниципальному бюджетному учреждению </w:t>
      </w:r>
    </w:p>
    <w:p w:rsidR="001968ED" w:rsidRDefault="009508E5" w:rsidP="009508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5563">
        <w:rPr>
          <w:rFonts w:ascii="Times New Roman" w:hAnsi="Times New Roman"/>
          <w:b/>
          <w:sz w:val="28"/>
          <w:szCs w:val="28"/>
        </w:rPr>
        <w:t xml:space="preserve">«Городской парк культуры и отдыха 30-летия Победы» </w:t>
      </w:r>
    </w:p>
    <w:p w:rsidR="009508E5" w:rsidRPr="00905563" w:rsidRDefault="009508E5" w:rsidP="009508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5563">
        <w:rPr>
          <w:rFonts w:ascii="Times New Roman" w:hAnsi="Times New Roman"/>
          <w:b/>
          <w:sz w:val="28"/>
          <w:szCs w:val="28"/>
        </w:rPr>
        <w:t>муниципального образования город Горячий Ключ»</w:t>
      </w:r>
    </w:p>
    <w:p w:rsidR="009508E5" w:rsidRDefault="009508E5" w:rsidP="009508E5">
      <w:pPr>
        <w:jc w:val="center"/>
        <w:rPr>
          <w:b/>
          <w:sz w:val="28"/>
          <w:szCs w:val="28"/>
        </w:rPr>
      </w:pPr>
    </w:p>
    <w:p w:rsidR="009508E5" w:rsidRPr="004A0714" w:rsidRDefault="009508E5" w:rsidP="009508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вопросам курорта и туризма, инвестиций и малого бизнеса</w:t>
      </w:r>
      <w:r w:rsidRPr="0060795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 Горячий Ключ</w:t>
      </w:r>
      <w:r w:rsidRPr="00607952">
        <w:rPr>
          <w:rFonts w:ascii="Times New Roman" w:hAnsi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 правовых  актов  муниципального  образования  </w:t>
      </w:r>
      <w:r>
        <w:rPr>
          <w:rFonts w:ascii="Times New Roman" w:hAnsi="Times New Roman"/>
          <w:sz w:val="28"/>
          <w:szCs w:val="28"/>
        </w:rPr>
        <w:t>город Горячий Ключ</w:t>
      </w:r>
      <w:r w:rsidRPr="00607952">
        <w:rPr>
          <w:rFonts w:ascii="Times New Roman" w:hAnsi="Times New Roman"/>
          <w:sz w:val="28"/>
          <w:szCs w:val="28"/>
        </w:rPr>
        <w:t xml:space="preserve"> рассмотрел</w:t>
      </w:r>
      <w:r>
        <w:rPr>
          <w:rFonts w:ascii="Times New Roman" w:hAnsi="Times New Roman"/>
          <w:sz w:val="28"/>
          <w:szCs w:val="28"/>
        </w:rPr>
        <w:t>о</w:t>
      </w:r>
      <w:r w:rsidRPr="00607952">
        <w:rPr>
          <w:rFonts w:ascii="Times New Roman" w:hAnsi="Times New Roman"/>
          <w:sz w:val="28"/>
          <w:szCs w:val="28"/>
        </w:rPr>
        <w:t xml:space="preserve"> </w:t>
      </w:r>
      <w:r w:rsidRPr="00566C9E">
        <w:rPr>
          <w:rFonts w:ascii="Times New Roman" w:hAnsi="Times New Roman"/>
          <w:sz w:val="28"/>
          <w:szCs w:val="28"/>
        </w:rPr>
        <w:t xml:space="preserve">поступивший </w:t>
      </w:r>
      <w:r>
        <w:rPr>
          <w:rFonts w:ascii="Times New Roman" w:hAnsi="Times New Roman"/>
          <w:sz w:val="28"/>
          <w:szCs w:val="28"/>
        </w:rPr>
        <w:t>07 августа</w:t>
      </w:r>
      <w:r w:rsidRPr="00566C9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66C9E">
        <w:rPr>
          <w:rFonts w:ascii="Times New Roman" w:hAnsi="Times New Roman"/>
          <w:sz w:val="28"/>
          <w:szCs w:val="28"/>
        </w:rPr>
        <w:t xml:space="preserve"> года</w:t>
      </w:r>
      <w:r>
        <w:t xml:space="preserve"> </w:t>
      </w:r>
      <w:r w:rsidRPr="00607952">
        <w:rPr>
          <w:rFonts w:ascii="Times New Roman" w:hAnsi="Times New Roman"/>
          <w:sz w:val="28"/>
          <w:szCs w:val="28"/>
        </w:rPr>
        <w:t>проект</w:t>
      </w:r>
      <w:r w:rsidRPr="00566C9E">
        <w:t xml:space="preserve"> </w:t>
      </w:r>
      <w:r w:rsidRPr="00566C9E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Горячий Ключ </w:t>
      </w:r>
      <w:r w:rsidRPr="00122B96">
        <w:rPr>
          <w:rFonts w:ascii="Times New Roman" w:hAnsi="Times New Roman"/>
          <w:sz w:val="28"/>
          <w:szCs w:val="28"/>
        </w:rPr>
        <w:t>«</w:t>
      </w:r>
      <w:r w:rsidR="00CC1003">
        <w:rPr>
          <w:rFonts w:ascii="Times New Roman" w:hAnsi="Times New Roman"/>
          <w:sz w:val="28"/>
          <w:szCs w:val="28"/>
        </w:rPr>
        <w:t xml:space="preserve">Об утверждении </w:t>
      </w:r>
      <w:r w:rsidRPr="00122B96">
        <w:rPr>
          <w:rFonts w:ascii="Times New Roman" w:hAnsi="Times New Roman"/>
          <w:sz w:val="28"/>
          <w:szCs w:val="28"/>
        </w:rPr>
        <w:t>Поряд</w:t>
      </w:r>
      <w:r w:rsidR="00CC1003">
        <w:rPr>
          <w:rFonts w:ascii="Times New Roman" w:hAnsi="Times New Roman"/>
          <w:sz w:val="28"/>
          <w:szCs w:val="28"/>
        </w:rPr>
        <w:t>ка</w:t>
      </w:r>
      <w:r w:rsidRPr="00122B96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и объектов по предоставлению услуг на земельных участках, предоставленных в постоянное (бессрочное) пользование муниципальному бюджетному учреждению «Городской парк культуры и отдыха 30-летия Победы» муниципального образования город Горячий Ключ»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952">
        <w:rPr>
          <w:rFonts w:ascii="Times New Roman" w:hAnsi="Times New Roman"/>
          <w:sz w:val="28"/>
          <w:szCs w:val="28"/>
        </w:rPr>
        <w:t>(далее - проект), направленный для подготовки настоящего Заключения</w:t>
      </w:r>
      <w:r>
        <w:rPr>
          <w:rFonts w:ascii="Times New Roman" w:hAnsi="Times New Roman"/>
          <w:sz w:val="28"/>
          <w:szCs w:val="28"/>
        </w:rPr>
        <w:t xml:space="preserve"> от отдела культуры</w:t>
      </w:r>
      <w:r w:rsidRPr="003E20AB">
        <w:rPr>
          <w:rFonts w:ascii="Times New Roman" w:hAnsi="Times New Roman"/>
          <w:sz w:val="28"/>
          <w:szCs w:val="28"/>
        </w:rPr>
        <w:t xml:space="preserve"> </w:t>
      </w:r>
      <w:r w:rsidRPr="00566C9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Горячий Ключ </w:t>
      </w:r>
      <w:r w:rsidR="00CC1003">
        <w:rPr>
          <w:rFonts w:ascii="Times New Roman" w:hAnsi="Times New Roman"/>
          <w:sz w:val="28"/>
          <w:szCs w:val="28"/>
        </w:rPr>
        <w:t xml:space="preserve">(далее - разработчик). По итогам рассмотрения </w:t>
      </w:r>
      <w:r w:rsidR="001968ED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607952">
        <w:rPr>
          <w:rFonts w:ascii="Times New Roman" w:hAnsi="Times New Roman"/>
          <w:sz w:val="28"/>
          <w:szCs w:val="28"/>
        </w:rPr>
        <w:t>сообщает следующее.</w:t>
      </w:r>
    </w:p>
    <w:p w:rsidR="009508E5" w:rsidRPr="004A0714" w:rsidRDefault="009508E5" w:rsidP="009508E5">
      <w:pPr>
        <w:ind w:firstLine="709"/>
        <w:jc w:val="both"/>
        <w:rPr>
          <w:sz w:val="28"/>
          <w:szCs w:val="28"/>
        </w:rPr>
      </w:pPr>
      <w:r w:rsidRPr="0060795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56F31">
        <w:rPr>
          <w:sz w:val="28"/>
          <w:szCs w:val="28"/>
          <w:u w:val="single"/>
        </w:rPr>
        <w:t>пунктом 1.3.</w:t>
      </w:r>
      <w:r w:rsidRPr="0060795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607952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муниципального образования </w:t>
      </w:r>
      <w:r>
        <w:rPr>
          <w:sz w:val="28"/>
          <w:szCs w:val="28"/>
        </w:rPr>
        <w:t>город Горячий Ключ</w:t>
      </w:r>
      <w:r w:rsidRPr="00607952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607952">
        <w:rPr>
          <w:sz w:val="28"/>
          <w:szCs w:val="28"/>
        </w:rPr>
        <w:t xml:space="preserve"> постановлением администрации муниципального образования </w:t>
      </w:r>
      <w:r>
        <w:rPr>
          <w:sz w:val="28"/>
          <w:szCs w:val="28"/>
        </w:rPr>
        <w:t>город Горячий Ключ</w:t>
      </w:r>
      <w:r w:rsidRPr="00607952">
        <w:rPr>
          <w:sz w:val="28"/>
          <w:szCs w:val="28"/>
        </w:rPr>
        <w:t xml:space="preserve"> </w:t>
      </w:r>
      <w:r>
        <w:rPr>
          <w:sz w:val="28"/>
          <w:szCs w:val="28"/>
        </w:rPr>
        <w:t>от 11.07.2017г.</w:t>
      </w:r>
      <w:r w:rsidRPr="009829EC">
        <w:rPr>
          <w:sz w:val="28"/>
          <w:szCs w:val="28"/>
        </w:rPr>
        <w:t xml:space="preserve"> № </w:t>
      </w:r>
      <w:r>
        <w:rPr>
          <w:sz w:val="28"/>
          <w:szCs w:val="28"/>
        </w:rPr>
        <w:t>1537 «Об утверждении порядка проведения оценки регулирующего воздействия проектов нормативных правовых актов администрации муниципального образования город Горячий Ключ»</w:t>
      </w:r>
      <w:r w:rsidRPr="009829EC">
        <w:rPr>
          <w:sz w:val="28"/>
          <w:szCs w:val="28"/>
        </w:rPr>
        <w:t xml:space="preserve"> </w:t>
      </w:r>
      <w:r w:rsidRPr="00607952">
        <w:rPr>
          <w:sz w:val="28"/>
          <w:szCs w:val="28"/>
        </w:rPr>
        <w:t>(далее - Порядок)</w:t>
      </w:r>
      <w:r>
        <w:rPr>
          <w:sz w:val="28"/>
          <w:szCs w:val="28"/>
        </w:rPr>
        <w:t>,</w:t>
      </w:r>
      <w:r w:rsidRPr="00607952">
        <w:rPr>
          <w:sz w:val="28"/>
          <w:szCs w:val="28"/>
        </w:rPr>
        <w:t xml:space="preserve"> проект подлежит</w:t>
      </w:r>
      <w:r>
        <w:rPr>
          <w:sz w:val="28"/>
          <w:szCs w:val="28"/>
        </w:rPr>
        <w:t xml:space="preserve"> проведению</w:t>
      </w:r>
      <w:r w:rsidRPr="00607952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607952">
        <w:rPr>
          <w:sz w:val="28"/>
          <w:szCs w:val="28"/>
        </w:rPr>
        <w:t xml:space="preserve"> регулирующего воздействия.</w:t>
      </w:r>
    </w:p>
    <w:p w:rsidR="009508E5" w:rsidRDefault="009508E5" w:rsidP="009508E5">
      <w:pPr>
        <w:ind w:firstLine="709"/>
        <w:jc w:val="both"/>
        <w:rPr>
          <w:sz w:val="28"/>
          <w:szCs w:val="28"/>
        </w:rPr>
      </w:pPr>
      <w:r w:rsidRPr="004A0714">
        <w:rPr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9508E5" w:rsidRDefault="009508E5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направлен разработчиком для подготовки настоящего Заключения впервые.</w:t>
      </w:r>
    </w:p>
    <w:p w:rsidR="00CC1003" w:rsidRDefault="00CC1003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 анализ результатов исследований, проводимых регулирующим органом с учетом установления полноты рассмотрения регулирующим органом вех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9508E5" w:rsidRDefault="00CC1003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отчета. Таким образом, в</w:t>
      </w:r>
      <w:r w:rsidR="009508E5">
        <w:rPr>
          <w:color w:val="000000" w:themeColor="text1"/>
          <w:sz w:val="28"/>
          <w:szCs w:val="28"/>
        </w:rPr>
        <w:t xml:space="preserve"> соответствии с </w:t>
      </w:r>
      <w:r>
        <w:rPr>
          <w:color w:val="000000" w:themeColor="text1"/>
          <w:sz w:val="28"/>
          <w:szCs w:val="28"/>
        </w:rPr>
        <w:lastRenderedPageBreak/>
        <w:t>вышеуказанным</w:t>
      </w:r>
      <w:r w:rsidR="009508E5">
        <w:rPr>
          <w:color w:val="000000" w:themeColor="text1"/>
          <w:sz w:val="28"/>
          <w:szCs w:val="28"/>
        </w:rPr>
        <w:t xml:space="preserve"> </w:t>
      </w:r>
      <w:r w:rsidR="009508E5">
        <w:rPr>
          <w:sz w:val="28"/>
        </w:rPr>
        <w:t>Порядк</w:t>
      </w:r>
      <w:r>
        <w:rPr>
          <w:sz w:val="28"/>
        </w:rPr>
        <w:t xml:space="preserve">ом, </w:t>
      </w:r>
      <w:r w:rsidR="009508E5">
        <w:rPr>
          <w:color w:val="000000" w:themeColor="text1"/>
          <w:sz w:val="28"/>
          <w:szCs w:val="28"/>
        </w:rPr>
        <w:t>установлено следующее:</w:t>
      </w:r>
    </w:p>
    <w:p w:rsidR="00CC1003" w:rsidRDefault="00CC1003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проблема, на решение которой направлено правовое регулирование, сформулирована разработчиком верно;</w:t>
      </w:r>
    </w:p>
    <w:p w:rsidR="00CC1003" w:rsidRDefault="00CC1003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разработчиком определены потенциальные субъекты предлагаемого правового регулирования: </w:t>
      </w:r>
      <w:r w:rsidR="00AD2F2E">
        <w:rPr>
          <w:color w:val="000000" w:themeColor="text1"/>
          <w:sz w:val="28"/>
          <w:szCs w:val="28"/>
        </w:rPr>
        <w:t>юридические лица, индивидуальные предприниматели, зарегистрированные в установленном порядке. Количественная оценка потенциальной группы адресатов – не ограничена;</w:t>
      </w:r>
    </w:p>
    <w:p w:rsidR="00AD2F2E" w:rsidRDefault="00AD2F2E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цели предлагаемого правового регулирования направлены на решение выявленной проблемы;</w:t>
      </w:r>
    </w:p>
    <w:p w:rsidR="00AD2F2E" w:rsidRDefault="00AD2F2E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риски введения предлагаемого правового регулирования разработчиком не выявлены. </w:t>
      </w:r>
    </w:p>
    <w:p w:rsidR="00AD2F2E" w:rsidRDefault="00AD2F2E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Разработчиком предложен один вариант правового регулирования рассматриваемой сферы общественных отношений – введение предлагаемого правового регулирования. </w:t>
      </w:r>
    </w:p>
    <w:p w:rsidR="00AD2F2E" w:rsidRDefault="00AD2F2E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качестве альтернативного варианта правового регулирования разработчиком рассмотрен вариант сохранения действующего порядка правового регулирования.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 </w:t>
      </w:r>
    </w:p>
    <w:p w:rsidR="00AD2F2E" w:rsidRPr="000C58C9" w:rsidRDefault="00AD2F2E" w:rsidP="000C58C9">
      <w:pPr>
        <w:ind w:right="-108" w:firstLine="709"/>
        <w:jc w:val="both"/>
        <w:rPr>
          <w:color w:val="000000" w:themeColor="text1"/>
          <w:sz w:val="28"/>
          <w:szCs w:val="28"/>
        </w:rPr>
      </w:pPr>
      <w:r w:rsidRPr="000C58C9">
        <w:rPr>
          <w:color w:val="000000" w:themeColor="text1"/>
          <w:sz w:val="28"/>
          <w:szCs w:val="28"/>
        </w:rPr>
        <w:t>В соответствии с вышеуказанным Порядком установлено следующее:</w:t>
      </w:r>
    </w:p>
    <w:p w:rsidR="00AB025D" w:rsidRDefault="000C58C9" w:rsidP="000C58C9">
      <w:pPr>
        <w:ind w:right="-10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AD2F2E" w:rsidRPr="000C58C9">
        <w:rPr>
          <w:color w:val="000000" w:themeColor="text1"/>
          <w:sz w:val="28"/>
          <w:szCs w:val="28"/>
        </w:rPr>
        <w:t xml:space="preserve">Проблема, на решение которой направлено правовое регулирование, заключается </w:t>
      </w:r>
      <w:r w:rsidR="00AB025D">
        <w:rPr>
          <w:color w:val="000000" w:themeColor="text1"/>
          <w:sz w:val="28"/>
          <w:szCs w:val="28"/>
        </w:rPr>
        <w:t xml:space="preserve">в необходимости установления процедуры предоставления права на размещение нестационарных торговых объектов, объектов по предоставлению услуг на основании проведения открытого конкурса в соответствии с утвержденными типовыми проектами объектов. </w:t>
      </w:r>
    </w:p>
    <w:p w:rsidR="00AB025D" w:rsidRDefault="00AB025D" w:rsidP="000C58C9">
      <w:pPr>
        <w:ind w:right="-10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Предполагается, </w:t>
      </w:r>
      <w:r w:rsidR="00670F6C">
        <w:rPr>
          <w:color w:val="000000" w:themeColor="text1"/>
          <w:sz w:val="28"/>
          <w:szCs w:val="28"/>
        </w:rPr>
        <w:t xml:space="preserve">что установления процедуры предоставления права на размещение нестационарных торговых объектов, объектов по предоставлению услуг в форме конкурса повлечет увеличение поступления в местный бюджет денежных средств, обеспечит снижение количества обращений участников в антимонопольные органы. </w:t>
      </w:r>
    </w:p>
    <w:p w:rsidR="000C58C9" w:rsidRPr="000C58C9" w:rsidRDefault="000C58C9" w:rsidP="000C58C9">
      <w:pPr>
        <w:ind w:right="-10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9417F1">
        <w:rPr>
          <w:color w:val="000000" w:themeColor="text1"/>
          <w:sz w:val="28"/>
          <w:szCs w:val="28"/>
        </w:rPr>
        <w:t xml:space="preserve"> Цель данного проекта </w:t>
      </w:r>
      <w:r w:rsidR="00670F6C">
        <w:rPr>
          <w:color w:val="000000" w:themeColor="text1"/>
          <w:sz w:val="28"/>
          <w:szCs w:val="28"/>
        </w:rPr>
        <w:t xml:space="preserve">отвечает принципам правового регулирования, установленным законодательством Российской Федерации и Краснодарского края и заключается в утверждении Положения об организации и проведении конкурса на право заключения договора на право размещения нестационарных торговых объектов, объектов по предоставлению услуг, допустимых к размещению на территории муниципального образования город Горячий Ключ. </w:t>
      </w:r>
    </w:p>
    <w:p w:rsidR="009508E5" w:rsidRDefault="009508E5" w:rsidP="000C58C9">
      <w:pPr>
        <w:ind w:firstLine="709"/>
        <w:jc w:val="both"/>
        <w:rPr>
          <w:sz w:val="28"/>
          <w:szCs w:val="28"/>
        </w:rPr>
      </w:pPr>
      <w:r w:rsidRPr="0065681F">
        <w:rPr>
          <w:sz w:val="28"/>
          <w:szCs w:val="28"/>
        </w:rPr>
        <w:t>3</w:t>
      </w:r>
      <w:r>
        <w:rPr>
          <w:sz w:val="28"/>
          <w:szCs w:val="28"/>
        </w:rPr>
        <w:t>. Данный проект нормативного правового акта не</w:t>
      </w:r>
      <w:r w:rsidR="00670F6C">
        <w:rPr>
          <w:sz w:val="28"/>
          <w:szCs w:val="28"/>
        </w:rPr>
        <w:t xml:space="preserve"> предусматривает положения, которыми могут быть</w:t>
      </w:r>
      <w:r>
        <w:rPr>
          <w:sz w:val="28"/>
          <w:szCs w:val="28"/>
        </w:rPr>
        <w:t xml:space="preserve"> измен</w:t>
      </w:r>
      <w:r w:rsidR="00670F6C">
        <w:rPr>
          <w:sz w:val="28"/>
          <w:szCs w:val="28"/>
        </w:rPr>
        <w:t>ены</w:t>
      </w:r>
      <w:r>
        <w:rPr>
          <w:sz w:val="28"/>
          <w:szCs w:val="28"/>
        </w:rPr>
        <w:t xml:space="preserve"> содержание прав и обязанностей физических и юридических лиц в сфере предпринимательской и инвестиционной деятельности; содержание и порядок реализации полномочий отделов и управлений администрации муниципального образования город Горячий Ключ в отношениях с физическими и юридическими лицами в сфере предпринимательской и инвестиционной деятельности не изменятся. </w:t>
      </w:r>
    </w:p>
    <w:p w:rsidR="009508E5" w:rsidRDefault="000C58C9" w:rsidP="009508E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9508E5">
        <w:rPr>
          <w:color w:val="000000" w:themeColor="text1"/>
          <w:sz w:val="28"/>
          <w:szCs w:val="28"/>
        </w:rPr>
        <w:t>Предусмотренное проектом нормативного акта правовое регулирование в части прав и обязанностей физических и юридических лиц в сфере предпринимательской и инвестиционной деятельности не приведет:</w:t>
      </w:r>
    </w:p>
    <w:p w:rsidR="009508E5" w:rsidRDefault="009508E5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 невозможности исполнения указанными субъектами возложенных на них </w:t>
      </w:r>
      <w:r>
        <w:rPr>
          <w:color w:val="000000" w:themeColor="text1"/>
          <w:sz w:val="28"/>
          <w:szCs w:val="28"/>
        </w:rPr>
        <w:lastRenderedPageBreak/>
        <w:t>обязанностей вследствие противоречий или пробелов в правовом регулировании, отсутствия необходимых организационных или технических условий у отделов и управлений администрации муниципального образования город Горячий Ключ, а также сложившегося в муниципальном образовании город Горячий Ключ уровня развития технологий, инфраструктуры, рынков товаров и услуг;</w:t>
      </w:r>
    </w:p>
    <w:p w:rsidR="009508E5" w:rsidRDefault="009508E5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 возникновению у указанных субъектов дополнительных существенных расходов в сфере предпринимательской и инвестиционной деятельности либо к возникновению дополнительных существенных расходов бюджета муниципального образования город Горячий Ключ.</w:t>
      </w:r>
    </w:p>
    <w:p w:rsidR="000C58C9" w:rsidRPr="000C58C9" w:rsidRDefault="000C58C9" w:rsidP="000C58C9">
      <w:pPr>
        <w:ind w:right="-10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508E5">
        <w:rPr>
          <w:color w:val="000000" w:themeColor="text1"/>
          <w:sz w:val="28"/>
          <w:szCs w:val="28"/>
        </w:rPr>
        <w:t xml:space="preserve">. Потенциальные группы участников общественных отношений,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деятельности: </w:t>
      </w:r>
      <w:r w:rsidRPr="000C58C9">
        <w:rPr>
          <w:color w:val="000000" w:themeColor="text1"/>
          <w:sz w:val="28"/>
          <w:szCs w:val="28"/>
        </w:rPr>
        <w:t xml:space="preserve">юридические лица и индивидуальные предприниматели, зарегистрированные в установленном порядке. </w:t>
      </w:r>
    </w:p>
    <w:p w:rsidR="009508E5" w:rsidRDefault="009508E5" w:rsidP="009508E5">
      <w:pPr>
        <w:ind w:right="-1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5. </w:t>
      </w:r>
      <w:r w:rsidRPr="006D72C4">
        <w:rPr>
          <w:color w:val="000000" w:themeColor="text1"/>
          <w:sz w:val="28"/>
          <w:szCs w:val="28"/>
        </w:rPr>
        <w:t>Риски    недостижения    целей    правового    регулирования, а   также возможные негативные последствия от введения правового регулирования для экономического развития муниципального образования город Горячий Ключ</w:t>
      </w:r>
      <w:r>
        <w:rPr>
          <w:color w:val="000000" w:themeColor="text1"/>
          <w:sz w:val="28"/>
          <w:szCs w:val="28"/>
        </w:rPr>
        <w:t>,</w:t>
      </w:r>
      <w:r w:rsidRPr="006D72C4">
        <w:rPr>
          <w:color w:val="000000" w:themeColor="text1"/>
          <w:sz w:val="28"/>
          <w:szCs w:val="28"/>
        </w:rPr>
        <w:t xml:space="preserve"> отсутствуют.</w:t>
      </w:r>
    </w:p>
    <w:p w:rsidR="009508E5" w:rsidRDefault="009508E5" w:rsidP="009508E5">
      <w:pPr>
        <w:ind w:right="-1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6. </w:t>
      </w:r>
      <w:r w:rsidRPr="000E3B99">
        <w:rPr>
          <w:sz w:val="28"/>
          <w:szCs w:val="28"/>
        </w:rPr>
        <w:t>Дополнительные расходы местного бюджета</w:t>
      </w:r>
      <w:r w:rsidRPr="00B301AB">
        <w:rPr>
          <w:sz w:val="28"/>
          <w:szCs w:val="28"/>
        </w:rPr>
        <w:t xml:space="preserve"> (бюджета муниципального образования город </w:t>
      </w:r>
      <w:r>
        <w:rPr>
          <w:sz w:val="28"/>
          <w:szCs w:val="28"/>
        </w:rPr>
        <w:t>Горячий Ключ</w:t>
      </w:r>
      <w:r w:rsidRPr="00B301AB">
        <w:rPr>
          <w:sz w:val="28"/>
          <w:szCs w:val="28"/>
        </w:rPr>
        <w:t>), понесённые от регулирующего воздействия предлагаемого проекта муниципального нормативного правового акта, не предполагаются.</w:t>
      </w:r>
    </w:p>
    <w:p w:rsidR="009508E5" w:rsidRDefault="009508E5" w:rsidP="009508E5">
      <w:pPr>
        <w:ind w:right="-1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7. В соответствии с </w:t>
      </w:r>
      <w:r w:rsidR="001968ED">
        <w:rPr>
          <w:color w:val="000000" w:themeColor="text1"/>
          <w:sz w:val="28"/>
          <w:szCs w:val="28"/>
        </w:rPr>
        <w:t xml:space="preserve">вышеуказанным </w:t>
      </w:r>
      <w:r>
        <w:rPr>
          <w:color w:val="000000" w:themeColor="text1"/>
          <w:sz w:val="28"/>
          <w:szCs w:val="28"/>
        </w:rPr>
        <w:t>Порядк</w:t>
      </w:r>
      <w:r w:rsidR="000B5BB4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 xml:space="preserve"> </w:t>
      </w:r>
      <w:r w:rsidR="000B5BB4">
        <w:rPr>
          <w:color w:val="000000" w:themeColor="text1"/>
          <w:sz w:val="28"/>
          <w:szCs w:val="28"/>
        </w:rPr>
        <w:t>уполномоченным органом</w:t>
      </w:r>
      <w:r>
        <w:rPr>
          <w:color w:val="000000" w:themeColor="text1"/>
          <w:sz w:val="28"/>
          <w:szCs w:val="28"/>
        </w:rPr>
        <w:t xml:space="preserve"> </w:t>
      </w:r>
      <w:r w:rsidR="000B5BB4">
        <w:rPr>
          <w:color w:val="000000" w:themeColor="text1"/>
          <w:sz w:val="28"/>
          <w:szCs w:val="28"/>
        </w:rPr>
        <w:t>проведены</w:t>
      </w:r>
      <w:r>
        <w:rPr>
          <w:color w:val="000000" w:themeColor="text1"/>
          <w:sz w:val="28"/>
          <w:szCs w:val="28"/>
        </w:rPr>
        <w:t xml:space="preserve"> публичные консультации по проекту в период с 08 августа 2018 года по 06 сентября 2018 года.</w:t>
      </w:r>
    </w:p>
    <w:p w:rsidR="009508E5" w:rsidRDefault="009508E5" w:rsidP="009508E5">
      <w:pPr>
        <w:ind w:right="-10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 Информация о проводимых публичных консультациях была размещена на официальном сайте администрации муниципального образования город Горячий Ключ – </w:t>
      </w:r>
      <w:hyperlink r:id="rId5" w:history="1">
        <w:r>
          <w:rPr>
            <w:rStyle w:val="a3"/>
            <w:color w:val="000000" w:themeColor="text1"/>
            <w:sz w:val="28"/>
            <w:szCs w:val="28"/>
            <w:lang w:val="en-US"/>
          </w:rPr>
          <w:t>gorkluch</w:t>
        </w:r>
        <w:r>
          <w:rPr>
            <w:rStyle w:val="a3"/>
            <w:color w:val="000000" w:themeColor="text1"/>
            <w:sz w:val="28"/>
            <w:szCs w:val="28"/>
          </w:rPr>
          <w:t>.</w:t>
        </w:r>
        <w:r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color w:val="000000" w:themeColor="text1"/>
          <w:sz w:val="28"/>
          <w:szCs w:val="28"/>
        </w:rPr>
        <w:t>.</w:t>
      </w:r>
    </w:p>
    <w:p w:rsidR="009508E5" w:rsidRDefault="009508E5" w:rsidP="009508E5">
      <w:pPr>
        <w:ind w:right="-1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9. </w:t>
      </w:r>
      <w:r w:rsidRPr="003F49A3">
        <w:rPr>
          <w:color w:val="000000" w:themeColor="text1"/>
          <w:sz w:val="28"/>
          <w:szCs w:val="28"/>
        </w:rPr>
        <w:t>В период проведения публичных консультаций замечаний и предложений по проекту не поступило.</w:t>
      </w:r>
    </w:p>
    <w:p w:rsidR="009508E5" w:rsidRDefault="009508E5" w:rsidP="009508E5">
      <w:pPr>
        <w:ind w:right="-1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10. </w:t>
      </w:r>
      <w:r w:rsidRPr="006D72C4">
        <w:rPr>
          <w:color w:val="000000" w:themeColor="text1"/>
          <w:sz w:val="28"/>
          <w:szCs w:val="28"/>
        </w:rPr>
        <w:t>По результатам оценки регулирующего воздействия сделан</w:t>
      </w:r>
      <w:r w:rsidR="000B5BB4">
        <w:rPr>
          <w:color w:val="000000" w:themeColor="text1"/>
          <w:sz w:val="28"/>
          <w:szCs w:val="28"/>
        </w:rPr>
        <w:t>ы</w:t>
      </w:r>
      <w:r w:rsidRPr="006D72C4">
        <w:rPr>
          <w:color w:val="000000" w:themeColor="text1"/>
          <w:sz w:val="28"/>
          <w:szCs w:val="28"/>
        </w:rPr>
        <w:t xml:space="preserve"> вывод</w:t>
      </w:r>
      <w:r w:rsidR="000B5BB4">
        <w:rPr>
          <w:color w:val="000000" w:themeColor="text1"/>
          <w:sz w:val="28"/>
          <w:szCs w:val="28"/>
        </w:rPr>
        <w:t>ы</w:t>
      </w:r>
      <w:r w:rsidRPr="006D72C4">
        <w:rPr>
          <w:color w:val="000000" w:themeColor="text1"/>
          <w:sz w:val="28"/>
          <w:szCs w:val="28"/>
        </w:rPr>
        <w:t xml:space="preserve"> об отсутствии в представленном проекте положений, вводящих избыточные административные обязанности, запреты и ограничения для физических и юридических лиц в сфере предпринимательской деятельности или способ-ствующих их введению, оказывающих негативное влияние на отрасли экономики муниципального образован</w:t>
      </w:r>
      <w:r w:rsidR="001968ED">
        <w:rPr>
          <w:color w:val="000000" w:themeColor="text1"/>
          <w:sz w:val="28"/>
          <w:szCs w:val="28"/>
        </w:rPr>
        <w:t>ия город Горячий Ключ, способст</w:t>
      </w:r>
      <w:r w:rsidRPr="006D72C4">
        <w:rPr>
          <w:color w:val="000000" w:themeColor="text1"/>
          <w:sz w:val="28"/>
          <w:szCs w:val="28"/>
        </w:rPr>
        <w:t>вующих возникновению необоснованных расходов физических и юридических лиц в сфере предпринимательской деятельности, а также необоснованных расходов местного бюджета (бюджета муниципального образования город Горячий Ключ), и о возможно</w:t>
      </w:r>
      <w:r w:rsidR="000B5BB4">
        <w:rPr>
          <w:color w:val="000000" w:themeColor="text1"/>
          <w:sz w:val="28"/>
          <w:szCs w:val="28"/>
        </w:rPr>
        <w:t xml:space="preserve">сти его дальнейшего согласования. </w:t>
      </w:r>
    </w:p>
    <w:p w:rsidR="009508E5" w:rsidRDefault="009508E5" w:rsidP="009508E5">
      <w:pPr>
        <w:ind w:right="-108"/>
        <w:jc w:val="both"/>
        <w:rPr>
          <w:color w:val="000000" w:themeColor="text1"/>
          <w:sz w:val="28"/>
          <w:szCs w:val="28"/>
        </w:rPr>
      </w:pPr>
    </w:p>
    <w:p w:rsidR="000B5BB4" w:rsidRDefault="000B5BB4" w:rsidP="009508E5">
      <w:pPr>
        <w:ind w:right="-108"/>
        <w:jc w:val="both"/>
        <w:rPr>
          <w:color w:val="000000" w:themeColor="text1"/>
          <w:sz w:val="28"/>
          <w:szCs w:val="28"/>
        </w:rPr>
      </w:pPr>
    </w:p>
    <w:p w:rsidR="001968ED" w:rsidRDefault="009508E5" w:rsidP="0095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вопросам курорта</w:t>
      </w:r>
    </w:p>
    <w:p w:rsidR="009508E5" w:rsidRPr="00D86351" w:rsidRDefault="009508E5" w:rsidP="009508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туризма, инвестиций и малого бизнеса                                 Т.А. Лодочникова</w:t>
      </w:r>
    </w:p>
    <w:p w:rsidR="005F7728" w:rsidRDefault="005F7728"/>
    <w:sectPr w:rsidR="005F7728" w:rsidSect="001968ED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0FC3"/>
    <w:multiLevelType w:val="hybridMultilevel"/>
    <w:tmpl w:val="BDAA93E4"/>
    <w:lvl w:ilvl="0" w:tplc="B798F94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5ACB"/>
    <w:multiLevelType w:val="hybridMultilevel"/>
    <w:tmpl w:val="DBA4C54E"/>
    <w:lvl w:ilvl="0" w:tplc="B798F94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D8"/>
    <w:rsid w:val="000B5BB4"/>
    <w:rsid w:val="000C58C9"/>
    <w:rsid w:val="000E05C6"/>
    <w:rsid w:val="001968ED"/>
    <w:rsid w:val="005F7728"/>
    <w:rsid w:val="00670F6C"/>
    <w:rsid w:val="008575D8"/>
    <w:rsid w:val="009417F1"/>
    <w:rsid w:val="009508E5"/>
    <w:rsid w:val="00AB025D"/>
    <w:rsid w:val="00AD2F2E"/>
    <w:rsid w:val="00C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20F1-979E-4889-B937-F21CC741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0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08E5"/>
    <w:rPr>
      <w:color w:val="0563C1" w:themeColor="hyperlink"/>
      <w:u w:val="single"/>
    </w:rPr>
  </w:style>
  <w:style w:type="paragraph" w:styleId="a4">
    <w:name w:val="No Spacing"/>
    <w:uiPriority w:val="1"/>
    <w:qFormat/>
    <w:rsid w:val="009508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D2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8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8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orkluch@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Тихова Людмила</dc:creator>
  <cp:keywords/>
  <dc:description/>
  <cp:lastModifiedBy>Андреева Нина</cp:lastModifiedBy>
  <cp:revision>2</cp:revision>
  <cp:lastPrinted>2018-09-07T10:42:00Z</cp:lastPrinted>
  <dcterms:created xsi:type="dcterms:W3CDTF">2019-01-15T06:52:00Z</dcterms:created>
  <dcterms:modified xsi:type="dcterms:W3CDTF">2019-01-15T06:52:00Z</dcterms:modified>
</cp:coreProperties>
</file>