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РОССИЙСКАЯ ФЕДЕРАЦИЯ КРАСНОДАРСКИЙ КРАЙ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АДМИНИСТРАЦИЯ МУНИЦИПАЛЬНОГО ОБРАЗОВАНИЯ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плановой проверки  соблюдения требований законодательства Российской </w:t>
      </w:r>
      <w:r/>
    </w:p>
    <w:p>
      <w:pPr>
        <w:ind w:left="0" w:right="-142" w:firstLine="0"/>
        <w:jc w:val="center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Федерации в сфере закупок для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Имеретинского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 муниципального образования 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 февраля 2023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город Горячий Ключ</w:t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left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Основание для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18.11.2022 г. № 156р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Цель проверки: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Предупреждение и выявление нарушений законодательства Российской Федерации в сфере закупок.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Наименование контрольного органа: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 экономики админист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, заместителя начальника отдела  Шендриковой В.С.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и главного специалиста отдела Харитоновой И.А.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Сроки проведения проверки: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30.01.2023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03.02.2023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Период проведения проверки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 01.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г. по 31.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.2022г.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Плановая проверка осуществляется путем рассмотрения и анализа истребованных документов.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До начало осуществления плановой проверки (далее Проверка) главе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Имеретинского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  (далее Администрация СО) было вручено уведомление о проверке.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администрации муниципального образования город Горячий Ключ №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л от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09.01.2020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г. на должность главы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Имеретинского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 назначен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Якуня Анатолий Васильевич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Положения статьи 38 Закона о контрактной системе предусматривают, что заказчик, совокупный год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распоряжением алминистрации муниципальн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ого образования город Горячий Ключ № 71-р от 08.07.2019 г. контрактны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м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управляющим, ответственным за осуществление закупки или нескольких закупок, включая исполнение каждого контракта назначен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Якуня А.В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 - глава администрации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Имеретинского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сельского округа.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 момент проверки в стадии размещения заказов нет.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 результате проведения второго этапа плановой проверки установлено: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бюджетная смета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утверждена заместителем главы администрации муниципального образования город Горячий Ключ 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Порядок 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ормирования, утверждения и ведения планов графиков закупок для обеспечения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подпунктом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пункта 3 указанного выше Постановле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ния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Таким образом план-график закупок товаров, работ, услуг для обеспечения муниципальных нужд Администрации СО 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 должен быть утвержден не ранее 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года и не позднее 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января 2022 года.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Администрацией СО сформирован план-график закупок товаров, работ, услуг для обеспечения муниципальных нужд на 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финансовый год. Указанный план-график утвержден заказчиком 28.12.202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2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в установленный законом срок.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Частью 4 статьи 30 закона о контрактной системе определено, что по итогам года заказчик обязан составить отчет об объеме закупок у субъектов малого предпринимательства, социально-ор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иентированных некоммерческих организаций, предусмотренных частью 2 настоящей статьи, до 1 апреля года, следующего за отчетным годом, разместить такой отчет в единой информационной системе. В отчет заказчик включает информацию о заключенных контрактах с суб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ъектами малого предпринимательства, социально-ориентированными некоммерческими организациями, а также информацию о несостоявшемся определении поставщиков с участием субъектов малого предпринимательства, социально-ориентированных некоммерческих организаций.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Отчет об объеме закупок у субъектов малого предпринимательства за 2021 год размещен Администрацией СО – 03.03.2022 года в установленный законом срок.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Администрацией СО ведется реестр закупок, осуществляемых без заключения государственных или муниципальных контрактов.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Выводы: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результатам проверки в действиях заказчика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нарушения не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выявлен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</w:t>
      </w:r>
      <w:r/>
    </w:p>
    <w:p>
      <w:pPr>
        <w:ind w:left="0" w:right="-142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Направить копию акта проверки для ознакомления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Якуня А.В.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– главе администрации муниципального образования город Горячий Ключ.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Начальник отдела 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экономики                                                                                             Н.В. Душина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shd w:val="clear" w:color="auto" w:fill="auto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  <w:lang w:val="ru-RU"/>
        </w:rPr>
        <w:t xml:space="preserve">Заместитель начальника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  <w:t xml:space="preserve">отдела экономики                                                                          В.С. Шендрикова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none"/>
          <w:shd w:val="clear" w:color="auto" w:fill="auto"/>
          <w:lang w:val="ru-RU"/>
        </w:rPr>
      </w:r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Главный специалист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отдела экономики                                                                         И.А. Харитонова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Акт проверки получил(а) ________               ___________            ___________</w:t>
      </w:r>
      <w:r/>
    </w:p>
    <w:p>
      <w:pPr>
        <w:ind w:left="0" w:right="-142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                                                            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дата)</w:t>
        <w:tab/>
        <w:t xml:space="preserve">(подпись)</w:t>
        <w:tab/>
        <w:t xml:space="preserve">(ФИО)</w:t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paragraph" w:styleId="823" w:default="1">
    <w:name w:val="Normal"/>
    <w:qFormat/>
  </w:style>
  <w:style w:type="table" w:styleId="8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